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BC76C8" w14:textId="3E9E4061" w:rsidR="00DA2120" w:rsidRDefault="004F4704" w:rsidP="004F470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b/>
          <w:bCs/>
          <w:sz w:val="28"/>
          <w:szCs w:val="28"/>
          <w:lang w:val="uk-UA"/>
        </w:rPr>
        <w:t>Питання до поточної контрольної роботи з дисципліни «Географія торгівлі»</w:t>
      </w:r>
    </w:p>
    <w:p w14:paraId="202A6CA5" w14:textId="77777777" w:rsidR="004F4704" w:rsidRPr="004F4704" w:rsidRDefault="004F4704" w:rsidP="004F470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14C69D6C" w14:textId="52EB4E75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Зміст, об'єкт, предмет географії торгівлі</w:t>
      </w:r>
    </w:p>
    <w:p w14:paraId="2291E1D2" w14:textId="56193C26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Зміст, об'єкт, предмет маркетингової географії</w:t>
      </w:r>
    </w:p>
    <w:p w14:paraId="519107DC" w14:textId="1B1646E9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Аспекти географії торгівлі.</w:t>
      </w:r>
    </w:p>
    <w:p w14:paraId="43E76334" w14:textId="61942B2F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Зв’язок географії торгівлі з іншими науками</w:t>
      </w:r>
    </w:p>
    <w:p w14:paraId="1ED5AB64" w14:textId="6B3391ED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Місце географії торгівлі в системі суспільно-географічних наук</w:t>
      </w:r>
    </w:p>
    <w:p w14:paraId="061CEB95" w14:textId="1B799120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Методи дослідження географії торгівлі</w:t>
      </w:r>
    </w:p>
    <w:p w14:paraId="0490837D" w14:textId="1A093E15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Історичні нариси географії торгівлі</w:t>
      </w:r>
    </w:p>
    <w:p w14:paraId="37111493" w14:textId="24AB1133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 xml:space="preserve">Історичні нариси розвитку торгівлі. </w:t>
      </w:r>
    </w:p>
    <w:p w14:paraId="254F0DCA" w14:textId="2ABECEAF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Характеристика етапів розвитку міжнародної торгівлі</w:t>
      </w:r>
    </w:p>
    <w:p w14:paraId="64D0D5AC" w14:textId="23CA08EC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F4704">
        <w:rPr>
          <w:rFonts w:ascii="Times New Roman" w:hAnsi="Times New Roman" w:cs="Times New Roman"/>
          <w:sz w:val="28"/>
          <w:szCs w:val="28"/>
          <w:lang w:val="uk-UA"/>
        </w:rPr>
        <w:t>Поняттєво</w:t>
      </w:r>
      <w:proofErr w:type="spellEnd"/>
      <w:r w:rsidRPr="004F4704">
        <w:rPr>
          <w:rFonts w:ascii="Times New Roman" w:hAnsi="Times New Roman" w:cs="Times New Roman"/>
          <w:sz w:val="28"/>
          <w:szCs w:val="28"/>
          <w:lang w:val="uk-UA"/>
        </w:rPr>
        <w:t>-термінологічний апарат географії торгівлі</w:t>
      </w:r>
    </w:p>
    <w:p w14:paraId="101729D7" w14:textId="57649F72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Види торгівлі</w:t>
      </w:r>
    </w:p>
    <w:p w14:paraId="63ACDAB2" w14:textId="2A687999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Функціонально-компонентна структура системи торговельного обслуговування населення</w:t>
      </w:r>
    </w:p>
    <w:p w14:paraId="794EC457" w14:textId="161490E4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Класифікація товарів</w:t>
      </w:r>
    </w:p>
    <w:p w14:paraId="5DCF2A1A" w14:textId="4BB0F7A3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 xml:space="preserve">Класифікація об’єктів роздрібної торгівлі  </w:t>
      </w:r>
    </w:p>
    <w:p w14:paraId="6F8F01E2" w14:textId="6C6C3A51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Класифікація закладів ресторанного господарства</w:t>
      </w:r>
    </w:p>
    <w:p w14:paraId="5C481E28" w14:textId="57FA63E8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Територіальна структура системи торговельного обслуговування населення</w:t>
      </w:r>
    </w:p>
    <w:p w14:paraId="55B9C377" w14:textId="3FE943BD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Управлінська структура системи торговельного обслуговування населення</w:t>
      </w:r>
    </w:p>
    <w:p w14:paraId="7EAA2858" w14:textId="45B06396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Функції торгівлі.</w:t>
      </w:r>
    </w:p>
    <w:p w14:paraId="60DABC97" w14:textId="23FA2A7B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Роль торгівлі у суспільстві</w:t>
      </w:r>
    </w:p>
    <w:p w14:paraId="4281DA2D" w14:textId="7033A79E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Місце торгівлі в економіці країни</w:t>
      </w:r>
    </w:p>
    <w:p w14:paraId="0A9BCAB7" w14:textId="2775B7AE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Внутрішні і зовнішні зв’язки системи торговельного обслуговування населення</w:t>
      </w:r>
    </w:p>
    <w:p w14:paraId="15BC8435" w14:textId="4841C744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Задоволення соціальних потреб через систему торговельного обслуговування населення</w:t>
      </w:r>
    </w:p>
    <w:p w14:paraId="0443938C" w14:textId="08D3D4E8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Сутність поняття «територіальна організація торгівлі»</w:t>
      </w:r>
    </w:p>
    <w:p w14:paraId="2F8017A9" w14:textId="19444AED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Закономірності розміщення підприємств торгівлі</w:t>
      </w:r>
    </w:p>
    <w:p w14:paraId="601871E7" w14:textId="5F7457F0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Принципи розміщення підприємств торгівлі</w:t>
      </w:r>
    </w:p>
    <w:p w14:paraId="24D69E03" w14:textId="36F72770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Показники оцінки територіальної системи торговельних послуг</w:t>
      </w:r>
    </w:p>
    <w:p w14:paraId="58788C90" w14:textId="65FB5397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Чинники розвитку роздрібного товарообороту в регіоні</w:t>
      </w:r>
    </w:p>
    <w:p w14:paraId="65DC426E" w14:textId="1F19C9A3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Меркантилізм.</w:t>
      </w:r>
    </w:p>
    <w:p w14:paraId="6E7314FB" w14:textId="0DCDB179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 xml:space="preserve">Класичні теорії розвитку торгівлі (Концепція абсолютних переваг А. Сміта, </w:t>
      </w:r>
    </w:p>
    <w:p w14:paraId="02474A50" w14:textId="77777777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 xml:space="preserve">Концепція порівняльних переваг Д. Рікардо, </w:t>
      </w:r>
    </w:p>
    <w:p w14:paraId="3E44D046" w14:textId="77777777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 xml:space="preserve">Закони </w:t>
      </w:r>
      <w:proofErr w:type="spellStart"/>
      <w:r w:rsidRPr="004F4704">
        <w:rPr>
          <w:rFonts w:ascii="Times New Roman" w:hAnsi="Times New Roman" w:cs="Times New Roman"/>
          <w:sz w:val="28"/>
          <w:szCs w:val="28"/>
          <w:lang w:val="uk-UA"/>
        </w:rPr>
        <w:t>Дж</w:t>
      </w:r>
      <w:proofErr w:type="spellEnd"/>
      <w:r w:rsidRPr="004F4704">
        <w:rPr>
          <w:rFonts w:ascii="Times New Roman" w:hAnsi="Times New Roman" w:cs="Times New Roman"/>
          <w:sz w:val="28"/>
          <w:szCs w:val="28"/>
          <w:lang w:val="uk-UA"/>
        </w:rPr>
        <w:t xml:space="preserve">. С. </w:t>
      </w:r>
      <w:proofErr w:type="spellStart"/>
      <w:r w:rsidRPr="004F4704">
        <w:rPr>
          <w:rFonts w:ascii="Times New Roman" w:hAnsi="Times New Roman" w:cs="Times New Roman"/>
          <w:sz w:val="28"/>
          <w:szCs w:val="28"/>
          <w:lang w:val="uk-UA"/>
        </w:rPr>
        <w:t>Мілла</w:t>
      </w:r>
      <w:proofErr w:type="spellEnd"/>
      <w:r w:rsidRPr="004F470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</w:p>
    <w:p w14:paraId="1BE462A4" w14:textId="03FA8ECC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 xml:space="preserve">Теорема </w:t>
      </w:r>
      <w:proofErr w:type="spellStart"/>
      <w:r w:rsidRPr="004F4704">
        <w:rPr>
          <w:rFonts w:ascii="Times New Roman" w:hAnsi="Times New Roman" w:cs="Times New Roman"/>
          <w:sz w:val="28"/>
          <w:szCs w:val="28"/>
          <w:lang w:val="uk-UA"/>
        </w:rPr>
        <w:t>Хекшера-Оліна</w:t>
      </w:r>
      <w:proofErr w:type="spellEnd"/>
      <w:r w:rsidRPr="004F4704">
        <w:rPr>
          <w:rFonts w:ascii="Times New Roman" w:hAnsi="Times New Roman" w:cs="Times New Roman"/>
          <w:sz w:val="28"/>
          <w:szCs w:val="28"/>
          <w:lang w:val="uk-UA"/>
        </w:rPr>
        <w:t xml:space="preserve"> (теорема факторних переваг), </w:t>
      </w:r>
    </w:p>
    <w:p w14:paraId="23B16686" w14:textId="77777777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 xml:space="preserve">Парадокс В. Леонтьєва, </w:t>
      </w:r>
    </w:p>
    <w:p w14:paraId="4AD65A71" w14:textId="77777777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 xml:space="preserve">Теорема </w:t>
      </w:r>
      <w:proofErr w:type="spellStart"/>
      <w:r w:rsidRPr="004F4704">
        <w:rPr>
          <w:rFonts w:ascii="Times New Roman" w:hAnsi="Times New Roman" w:cs="Times New Roman"/>
          <w:sz w:val="28"/>
          <w:szCs w:val="28"/>
          <w:lang w:val="uk-UA"/>
        </w:rPr>
        <w:t>Хекшера-Оліна-Самуєльсона</w:t>
      </w:r>
      <w:proofErr w:type="spellEnd"/>
      <w:r w:rsidRPr="004F4704">
        <w:rPr>
          <w:rFonts w:ascii="Times New Roman" w:hAnsi="Times New Roman" w:cs="Times New Roman"/>
          <w:sz w:val="28"/>
          <w:szCs w:val="28"/>
          <w:lang w:val="uk-UA"/>
        </w:rPr>
        <w:t xml:space="preserve"> (теорема HOS), </w:t>
      </w:r>
    </w:p>
    <w:p w14:paraId="0A8901D4" w14:textId="77777777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 xml:space="preserve">Теорема </w:t>
      </w:r>
      <w:proofErr w:type="spellStart"/>
      <w:r w:rsidRPr="004F4704">
        <w:rPr>
          <w:rFonts w:ascii="Times New Roman" w:hAnsi="Times New Roman" w:cs="Times New Roman"/>
          <w:sz w:val="28"/>
          <w:szCs w:val="28"/>
          <w:lang w:val="uk-UA"/>
        </w:rPr>
        <w:t>Самуєльсона</w:t>
      </w:r>
      <w:proofErr w:type="spellEnd"/>
      <w:r w:rsidRPr="004F4704">
        <w:rPr>
          <w:rFonts w:ascii="Times New Roman" w:hAnsi="Times New Roman" w:cs="Times New Roman"/>
          <w:sz w:val="28"/>
          <w:szCs w:val="28"/>
          <w:lang w:val="uk-UA"/>
        </w:rPr>
        <w:t xml:space="preserve">-Джонса, </w:t>
      </w:r>
    </w:p>
    <w:p w14:paraId="410C75ED" w14:textId="77777777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 xml:space="preserve">Теорема </w:t>
      </w:r>
      <w:proofErr w:type="spellStart"/>
      <w:r w:rsidRPr="004F4704">
        <w:rPr>
          <w:rFonts w:ascii="Times New Roman" w:hAnsi="Times New Roman" w:cs="Times New Roman"/>
          <w:sz w:val="28"/>
          <w:szCs w:val="28"/>
          <w:lang w:val="uk-UA"/>
        </w:rPr>
        <w:t>Столпера-Самуєльсона</w:t>
      </w:r>
      <w:proofErr w:type="spellEnd"/>
      <w:r w:rsidRPr="004F470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</w:p>
    <w:p w14:paraId="37A2C6EA" w14:textId="77777777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 xml:space="preserve">Теорема конкурентних переваг M. Портера, </w:t>
      </w:r>
    </w:p>
    <w:p w14:paraId="2D1ED093" w14:textId="77777777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Теорія технологічного розриву М. </w:t>
      </w:r>
      <w:proofErr w:type="spellStart"/>
      <w:r w:rsidRPr="004F4704">
        <w:rPr>
          <w:rFonts w:ascii="Times New Roman" w:hAnsi="Times New Roman" w:cs="Times New Roman"/>
          <w:sz w:val="28"/>
          <w:szCs w:val="28"/>
          <w:lang w:val="uk-UA"/>
        </w:rPr>
        <w:t>Познера</w:t>
      </w:r>
      <w:proofErr w:type="spellEnd"/>
      <w:r w:rsidRPr="004F470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</w:p>
    <w:p w14:paraId="7F3FBC55" w14:textId="77777777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 xml:space="preserve">Теорія «життєвого циклу продукту», </w:t>
      </w:r>
    </w:p>
    <w:p w14:paraId="7FA783DF" w14:textId="77777777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Теорема Рибчинського і «</w:t>
      </w:r>
      <w:proofErr w:type="spellStart"/>
      <w:r w:rsidRPr="004F4704">
        <w:rPr>
          <w:rFonts w:ascii="Times New Roman" w:hAnsi="Times New Roman" w:cs="Times New Roman"/>
          <w:sz w:val="28"/>
          <w:szCs w:val="28"/>
          <w:lang w:val="uk-UA"/>
        </w:rPr>
        <w:t>голандська</w:t>
      </w:r>
      <w:proofErr w:type="spellEnd"/>
      <w:r w:rsidRPr="004F4704">
        <w:rPr>
          <w:rFonts w:ascii="Times New Roman" w:hAnsi="Times New Roman" w:cs="Times New Roman"/>
          <w:sz w:val="28"/>
          <w:szCs w:val="28"/>
          <w:lang w:val="uk-UA"/>
        </w:rPr>
        <w:t xml:space="preserve"> хвороба», </w:t>
      </w:r>
    </w:p>
    <w:p w14:paraId="56DB5E9E" w14:textId="4B2904BC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 xml:space="preserve">Теорія перехресного попиту С. </w:t>
      </w:r>
      <w:proofErr w:type="spellStart"/>
      <w:r w:rsidRPr="004F4704">
        <w:rPr>
          <w:rFonts w:ascii="Times New Roman" w:hAnsi="Times New Roman" w:cs="Times New Roman"/>
          <w:sz w:val="28"/>
          <w:szCs w:val="28"/>
          <w:lang w:val="uk-UA"/>
        </w:rPr>
        <w:t>Ліндера</w:t>
      </w:r>
      <w:proofErr w:type="spellEnd"/>
      <w:r w:rsidRPr="004F4704">
        <w:rPr>
          <w:rFonts w:ascii="Times New Roman" w:hAnsi="Times New Roman" w:cs="Times New Roman"/>
          <w:sz w:val="28"/>
          <w:szCs w:val="28"/>
          <w:lang w:val="uk-UA"/>
        </w:rPr>
        <w:t xml:space="preserve"> або теорія подібності переваг</w:t>
      </w:r>
    </w:p>
    <w:p w14:paraId="38C9BD93" w14:textId="615AA966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 xml:space="preserve">Теорія </w:t>
      </w:r>
      <w:proofErr w:type="spellStart"/>
      <w:r w:rsidRPr="004F4704">
        <w:rPr>
          <w:rFonts w:ascii="Times New Roman" w:hAnsi="Times New Roman" w:cs="Times New Roman"/>
          <w:sz w:val="28"/>
          <w:szCs w:val="28"/>
          <w:lang w:val="uk-UA"/>
        </w:rPr>
        <w:t>центарльних</w:t>
      </w:r>
      <w:proofErr w:type="spellEnd"/>
      <w:r w:rsidRPr="004F4704">
        <w:rPr>
          <w:rFonts w:ascii="Times New Roman" w:hAnsi="Times New Roman" w:cs="Times New Roman"/>
          <w:sz w:val="28"/>
          <w:szCs w:val="28"/>
          <w:lang w:val="uk-UA"/>
        </w:rPr>
        <w:t xml:space="preserve"> місць В. </w:t>
      </w:r>
      <w:proofErr w:type="spellStart"/>
      <w:r w:rsidRPr="004F4704">
        <w:rPr>
          <w:rFonts w:ascii="Times New Roman" w:hAnsi="Times New Roman" w:cs="Times New Roman"/>
          <w:sz w:val="28"/>
          <w:szCs w:val="28"/>
          <w:lang w:val="uk-UA"/>
        </w:rPr>
        <w:t>Кристаллера</w:t>
      </w:r>
      <w:proofErr w:type="spellEnd"/>
    </w:p>
    <w:p w14:paraId="00A604C0" w14:textId="512BAAFE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Сутність інтернаціоналізації</w:t>
      </w:r>
    </w:p>
    <w:p w14:paraId="7C10E189" w14:textId="313B11A1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Сутність поняття глобалізації</w:t>
      </w:r>
    </w:p>
    <w:p w14:paraId="2EA92FEB" w14:textId="2D319FAD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Переваги і недоліки глобалізації</w:t>
      </w:r>
    </w:p>
    <w:p w14:paraId="2BA02603" w14:textId="02226873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Транснаціональні корпорації</w:t>
      </w:r>
    </w:p>
    <w:p w14:paraId="7C41A585" w14:textId="6741CECC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Поняття міжнародної і світової торгівлі</w:t>
      </w:r>
    </w:p>
    <w:p w14:paraId="7D77C9A3" w14:textId="2FC8CD72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Головні категорії та показники міжнародної торгівлі</w:t>
      </w:r>
    </w:p>
    <w:p w14:paraId="777F68D3" w14:textId="0E4D7250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Географічна і товарна структура міжнародної торгівлі</w:t>
      </w:r>
    </w:p>
    <w:p w14:paraId="6DE5552B" w14:textId="788B90B2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Види міжнародної торгівлі</w:t>
      </w:r>
    </w:p>
    <w:p w14:paraId="12014FD4" w14:textId="1A4A5CCE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Форми міжнародної торгівлі</w:t>
      </w:r>
    </w:p>
    <w:p w14:paraId="4B2B9380" w14:textId="51461C0F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Сучасні тенденції товарної структури міжнародної торгівлі</w:t>
      </w:r>
    </w:p>
    <w:p w14:paraId="61C67B67" w14:textId="319EAAC9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Сучасні тенденції географічної структури міжнародної торгівлі</w:t>
      </w:r>
    </w:p>
    <w:p w14:paraId="1678F975" w14:textId="49E9ABCB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Тенденції міжнародної торгівлі товарами</w:t>
      </w:r>
    </w:p>
    <w:p w14:paraId="3A06CB94" w14:textId="2E270DBD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Тенденції міжнародної торгівлі послугами</w:t>
      </w:r>
    </w:p>
    <w:p w14:paraId="6847007C" w14:textId="7090908C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 xml:space="preserve">Спеціалізація країн світу у МПП. </w:t>
      </w:r>
    </w:p>
    <w:p w14:paraId="06EA709D" w14:textId="1AA2324B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Напрями Міжнародної спеціалізації виробництва (МСП)</w:t>
      </w:r>
    </w:p>
    <w:p w14:paraId="6AEEE929" w14:textId="132637FE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Можливості МПП</w:t>
      </w:r>
    </w:p>
    <w:p w14:paraId="6A73B796" w14:textId="5B1D37D3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>Фактори розвитку МПП</w:t>
      </w:r>
    </w:p>
    <w:p w14:paraId="7456F2B2" w14:textId="56A28DAE" w:rsidR="004F4704" w:rsidRPr="004F470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4F4704">
        <w:rPr>
          <w:rFonts w:ascii="Times New Roman" w:hAnsi="Times New Roman" w:cs="Times New Roman"/>
          <w:sz w:val="28"/>
          <w:szCs w:val="28"/>
          <w:lang w:val="uk-UA"/>
        </w:rPr>
        <w:t xml:space="preserve">Феномен «Голландської хвороби». </w:t>
      </w:r>
    </w:p>
    <w:p w14:paraId="46A98482" w14:textId="43F68C35" w:rsidR="004F4704" w:rsidRPr="009D6724" w:rsidRDefault="004F4704" w:rsidP="006E7551">
      <w:pPr>
        <w:pStyle w:val="a3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9D6724">
        <w:rPr>
          <w:rFonts w:ascii="Times New Roman" w:hAnsi="Times New Roman" w:cs="Times New Roman"/>
          <w:sz w:val="28"/>
          <w:szCs w:val="28"/>
          <w:lang w:val="uk-UA"/>
        </w:rPr>
        <w:t>Торговельний баланс та його рівновага</w:t>
      </w:r>
    </w:p>
    <w:sectPr w:rsidR="004F4704" w:rsidRPr="009D672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B0047F"/>
    <w:multiLevelType w:val="hybridMultilevel"/>
    <w:tmpl w:val="90F6A060"/>
    <w:lvl w:ilvl="0" w:tplc="9FA64A84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34FC8"/>
    <w:multiLevelType w:val="hybridMultilevel"/>
    <w:tmpl w:val="8892C61C"/>
    <w:lvl w:ilvl="0" w:tplc="9FA64A84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55AAB"/>
    <w:multiLevelType w:val="hybridMultilevel"/>
    <w:tmpl w:val="52866B2E"/>
    <w:lvl w:ilvl="0" w:tplc="F6E8B38A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6E157F"/>
    <w:multiLevelType w:val="hybridMultilevel"/>
    <w:tmpl w:val="F566F962"/>
    <w:lvl w:ilvl="0" w:tplc="8026974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7E52A6"/>
    <w:multiLevelType w:val="hybridMultilevel"/>
    <w:tmpl w:val="498CFCDA"/>
    <w:lvl w:ilvl="0" w:tplc="3FEA507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FF31E4"/>
    <w:multiLevelType w:val="hybridMultilevel"/>
    <w:tmpl w:val="057E0B4A"/>
    <w:lvl w:ilvl="0" w:tplc="B28C406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6611DA"/>
    <w:multiLevelType w:val="hybridMultilevel"/>
    <w:tmpl w:val="8208022C"/>
    <w:lvl w:ilvl="0" w:tplc="9FA64A84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E97553"/>
    <w:multiLevelType w:val="hybridMultilevel"/>
    <w:tmpl w:val="20A8259C"/>
    <w:lvl w:ilvl="0" w:tplc="9FA64A84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B96429"/>
    <w:multiLevelType w:val="hybridMultilevel"/>
    <w:tmpl w:val="84FC2408"/>
    <w:lvl w:ilvl="0" w:tplc="9FA64A84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DE6E31"/>
    <w:multiLevelType w:val="hybridMultilevel"/>
    <w:tmpl w:val="BC34A31E"/>
    <w:lvl w:ilvl="0" w:tplc="9FA64A84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5F08C4"/>
    <w:multiLevelType w:val="hybridMultilevel"/>
    <w:tmpl w:val="3BF4692E"/>
    <w:lvl w:ilvl="0" w:tplc="9FA64A84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9A070C"/>
    <w:multiLevelType w:val="hybridMultilevel"/>
    <w:tmpl w:val="3112E574"/>
    <w:lvl w:ilvl="0" w:tplc="9FA64A84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3F4D32"/>
    <w:multiLevelType w:val="hybridMultilevel"/>
    <w:tmpl w:val="EEA49A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AA646B"/>
    <w:multiLevelType w:val="hybridMultilevel"/>
    <w:tmpl w:val="2C7E54D0"/>
    <w:lvl w:ilvl="0" w:tplc="9FA64A84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FF1051"/>
    <w:multiLevelType w:val="hybridMultilevel"/>
    <w:tmpl w:val="58D206E0"/>
    <w:lvl w:ilvl="0" w:tplc="9FA64A84">
      <w:start w:val="1"/>
      <w:numFmt w:val="decimal"/>
      <w:lvlText w:val="%1."/>
      <w:lvlJc w:val="left"/>
      <w:pPr>
        <w:ind w:left="992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9545B0"/>
    <w:multiLevelType w:val="hybridMultilevel"/>
    <w:tmpl w:val="EF9A9CF2"/>
    <w:lvl w:ilvl="0" w:tplc="5FDCEA08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8E6946"/>
    <w:multiLevelType w:val="hybridMultilevel"/>
    <w:tmpl w:val="531AA330"/>
    <w:lvl w:ilvl="0" w:tplc="90FED058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72763A"/>
    <w:multiLevelType w:val="hybridMultilevel"/>
    <w:tmpl w:val="371C9EA0"/>
    <w:lvl w:ilvl="0" w:tplc="9FA64A84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DD6169"/>
    <w:multiLevelType w:val="hybridMultilevel"/>
    <w:tmpl w:val="51A81184"/>
    <w:lvl w:ilvl="0" w:tplc="9FA64A84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8B6A13"/>
    <w:multiLevelType w:val="hybridMultilevel"/>
    <w:tmpl w:val="9AE0F7B8"/>
    <w:lvl w:ilvl="0" w:tplc="6F5C9C7A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157804"/>
    <w:multiLevelType w:val="hybridMultilevel"/>
    <w:tmpl w:val="611AADB4"/>
    <w:lvl w:ilvl="0" w:tplc="FA52CB94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A5783C"/>
    <w:multiLevelType w:val="hybridMultilevel"/>
    <w:tmpl w:val="598E1A40"/>
    <w:lvl w:ilvl="0" w:tplc="9FA64A84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C47BB2"/>
    <w:multiLevelType w:val="hybridMultilevel"/>
    <w:tmpl w:val="6482448A"/>
    <w:lvl w:ilvl="0" w:tplc="9FA64A84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292B75"/>
    <w:multiLevelType w:val="hybridMultilevel"/>
    <w:tmpl w:val="5472EF76"/>
    <w:lvl w:ilvl="0" w:tplc="3EE2BCEC">
      <w:start w:val="1"/>
      <w:numFmt w:val="decimal"/>
      <w:lvlText w:val="%1."/>
      <w:lvlJc w:val="left"/>
      <w:pPr>
        <w:ind w:left="1068" w:hanging="708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F60BF4"/>
    <w:multiLevelType w:val="hybridMultilevel"/>
    <w:tmpl w:val="61788F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4896286">
    <w:abstractNumId w:val="24"/>
  </w:num>
  <w:num w:numId="2" w16cid:durableId="142360120">
    <w:abstractNumId w:val="23"/>
  </w:num>
  <w:num w:numId="3" w16cid:durableId="1233469131">
    <w:abstractNumId w:val="15"/>
  </w:num>
  <w:num w:numId="4" w16cid:durableId="1561475556">
    <w:abstractNumId w:val="4"/>
  </w:num>
  <w:num w:numId="5" w16cid:durableId="128941988">
    <w:abstractNumId w:val="2"/>
  </w:num>
  <w:num w:numId="6" w16cid:durableId="161816268">
    <w:abstractNumId w:val="3"/>
  </w:num>
  <w:num w:numId="7" w16cid:durableId="661548349">
    <w:abstractNumId w:val="20"/>
  </w:num>
  <w:num w:numId="8" w16cid:durableId="1131171643">
    <w:abstractNumId w:val="16"/>
  </w:num>
  <w:num w:numId="9" w16cid:durableId="1724715126">
    <w:abstractNumId w:val="19"/>
  </w:num>
  <w:num w:numId="10" w16cid:durableId="616564130">
    <w:abstractNumId w:val="5"/>
  </w:num>
  <w:num w:numId="11" w16cid:durableId="1050953577">
    <w:abstractNumId w:val="7"/>
  </w:num>
  <w:num w:numId="12" w16cid:durableId="1413354374">
    <w:abstractNumId w:val="14"/>
  </w:num>
  <w:num w:numId="13" w16cid:durableId="1762480814">
    <w:abstractNumId w:val="22"/>
  </w:num>
  <w:num w:numId="14" w16cid:durableId="1917325463">
    <w:abstractNumId w:val="18"/>
  </w:num>
  <w:num w:numId="15" w16cid:durableId="813375411">
    <w:abstractNumId w:val="1"/>
  </w:num>
  <w:num w:numId="16" w16cid:durableId="2032104474">
    <w:abstractNumId w:val="9"/>
  </w:num>
  <w:num w:numId="17" w16cid:durableId="1266577436">
    <w:abstractNumId w:val="6"/>
  </w:num>
  <w:num w:numId="18" w16cid:durableId="1588952701">
    <w:abstractNumId w:val="0"/>
  </w:num>
  <w:num w:numId="19" w16cid:durableId="1664622814">
    <w:abstractNumId w:val="11"/>
  </w:num>
  <w:num w:numId="20" w16cid:durableId="1518157986">
    <w:abstractNumId w:val="8"/>
  </w:num>
  <w:num w:numId="21" w16cid:durableId="1372224106">
    <w:abstractNumId w:val="13"/>
  </w:num>
  <w:num w:numId="22" w16cid:durableId="64112261">
    <w:abstractNumId w:val="10"/>
  </w:num>
  <w:num w:numId="23" w16cid:durableId="2100170705">
    <w:abstractNumId w:val="12"/>
  </w:num>
  <w:num w:numId="24" w16cid:durableId="2129230380">
    <w:abstractNumId w:val="21"/>
  </w:num>
  <w:num w:numId="25" w16cid:durableId="54980956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704"/>
    <w:rsid w:val="001F4DC6"/>
    <w:rsid w:val="004F4704"/>
    <w:rsid w:val="006E7551"/>
    <w:rsid w:val="009D6724"/>
    <w:rsid w:val="00AC05A9"/>
    <w:rsid w:val="00DA2120"/>
    <w:rsid w:val="00FA3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8BD47"/>
  <w15:chartTrackingRefBased/>
  <w15:docId w15:val="{CB77F70B-8BAD-408B-81E4-041823371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47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 Кобылин</dc:creator>
  <cp:keywords/>
  <dc:description/>
  <cp:lastModifiedBy>Павел Кобылин</cp:lastModifiedBy>
  <cp:revision>2</cp:revision>
  <dcterms:created xsi:type="dcterms:W3CDTF">2024-10-27T16:47:00Z</dcterms:created>
  <dcterms:modified xsi:type="dcterms:W3CDTF">2024-10-27T16:59:00Z</dcterms:modified>
</cp:coreProperties>
</file>