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2" w:rsidRPr="003704BC" w:rsidRDefault="009066A2" w:rsidP="009066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</w:p>
    <w:tbl>
      <w:tblPr>
        <w:tblStyle w:val="a3"/>
        <w:tblW w:w="0" w:type="auto"/>
        <w:jc w:val="center"/>
        <w:tblInd w:w="446" w:type="dxa"/>
        <w:tblLook w:val="04A0" w:firstRow="1" w:lastRow="0" w:firstColumn="1" w:lastColumn="0" w:noHBand="0" w:noVBand="1"/>
      </w:tblPr>
      <w:tblGrid>
        <w:gridCol w:w="750"/>
        <w:gridCol w:w="555"/>
        <w:gridCol w:w="5384"/>
        <w:gridCol w:w="1337"/>
        <w:gridCol w:w="1337"/>
      </w:tblGrid>
      <w:tr w:rsidR="000A3F98" w:rsidRPr="005C156E" w:rsidTr="00787716">
        <w:trPr>
          <w:trHeight w:val="654"/>
          <w:jc w:val="center"/>
        </w:trPr>
        <w:tc>
          <w:tcPr>
            <w:tcW w:w="750" w:type="dxa"/>
          </w:tcPr>
          <w:p w:rsidR="000A3F98" w:rsidRPr="005C156E" w:rsidRDefault="000A3F98" w:rsidP="00787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ПЗ</w:t>
            </w: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0A3F98" w:rsidRPr="005C156E" w:rsidRDefault="000A3F98" w:rsidP="007877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84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337" w:type="dxa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</w:t>
            </w:r>
          </w:p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(бали)</w:t>
            </w: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П1</w:t>
            </w: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літературними джерелами за 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дисертаційного 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погли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понятійно-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ермінологічного апар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ту. Дискусія. 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Формулювання проблеми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лідження. Проблеми аналізу та синтезу в дисертаційному дослідженні, обґрунт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його логічної побудови та стадійн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сті. Дискусія.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П2</w:t>
            </w: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 та обґрунтування комплексу методів для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дослідження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Дискусія.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статистична обробка емпіричн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матеріалу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рмування інформаційної бази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дослідження. Дискусія.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37" w:type="dxa"/>
            <w:vMerge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П3</w:t>
            </w: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Пошуковий варіантний кластерний аналіз в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Порівняльний аналіз результатів, Інтерпретація прийнятого варіанту. Ди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pStyle w:val="a4"/>
              <w:ind w:firstLine="41"/>
              <w:jc w:val="left"/>
              <w:rPr>
                <w:sz w:val="28"/>
                <w:szCs w:val="28"/>
                <w:lang w:val="uk-UA"/>
              </w:rPr>
            </w:pPr>
            <w:r w:rsidRPr="009C6193">
              <w:rPr>
                <w:sz w:val="28"/>
                <w:szCs w:val="28"/>
                <w:lang w:val="uk-UA"/>
              </w:rPr>
              <w:t xml:space="preserve">Визначення діючих факторів. Факторний аналіз в </w:t>
            </w:r>
            <w:r w:rsidRPr="009C6193">
              <w:rPr>
                <w:sz w:val="28"/>
                <w:szCs w:val="28"/>
                <w:lang w:val="en-US"/>
              </w:rPr>
              <w:t>SPSS</w:t>
            </w:r>
            <w:r w:rsidRPr="009C6193">
              <w:rPr>
                <w:sz w:val="28"/>
                <w:szCs w:val="28"/>
                <w:lang w:val="uk-UA"/>
              </w:rPr>
              <w:t>. Інтерпретація гіпотетичних факторів. Дискусія.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П4</w:t>
            </w: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методів просторового ан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лізу. Виконання просторового аналізу за спеціальними програмними засобами. І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терпретація результатів, визначення про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торових закономірностей та особливостей. Дискусія.  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 w:val="restart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часових рядів. Дослідження час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вого тренду засобами 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61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Виявлення періодичності, частотний аналіз. Тренд-аналіз й інтерпретація його результатів. Дискусія.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F98" w:rsidRPr="005C156E" w:rsidTr="00787716">
        <w:trPr>
          <w:jc w:val="center"/>
        </w:trPr>
        <w:tc>
          <w:tcPr>
            <w:tcW w:w="750" w:type="dxa"/>
            <w:vMerge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5C156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4" w:type="dxa"/>
          </w:tcPr>
          <w:p w:rsidR="000A3F98" w:rsidRPr="009C6193" w:rsidRDefault="000A3F98" w:rsidP="000A3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обговорення результатів до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C6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ліджень.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0A3F98">
            <w:pPr>
              <w:pStyle w:val="Defaul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  <w:vMerge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A3F98" w:rsidRPr="005C156E" w:rsidTr="00787716">
        <w:trPr>
          <w:jc w:val="center"/>
        </w:trPr>
        <w:tc>
          <w:tcPr>
            <w:tcW w:w="750" w:type="dxa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939" w:type="dxa"/>
            <w:gridSpan w:val="2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5C156E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0A3F98" w:rsidRPr="005C156E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1337" w:type="dxa"/>
          </w:tcPr>
          <w:p w:rsidR="000A3F98" w:rsidRDefault="000A3F98" w:rsidP="00787716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</w:t>
            </w:r>
          </w:p>
        </w:tc>
      </w:tr>
    </w:tbl>
    <w:p w:rsidR="002D783B" w:rsidRDefault="002D783B" w:rsidP="000A3F98">
      <w:pPr>
        <w:rPr>
          <w:lang w:val="uk-UA"/>
        </w:rPr>
      </w:pPr>
    </w:p>
    <w:p w:rsidR="00F4442B" w:rsidRDefault="00F4442B" w:rsidP="000A3F98">
      <w:pPr>
        <w:rPr>
          <w:lang w:val="uk-UA"/>
        </w:rPr>
      </w:pPr>
    </w:p>
    <w:p w:rsidR="00F4442B" w:rsidRDefault="00F4442B" w:rsidP="000A3F98">
      <w:pPr>
        <w:rPr>
          <w:lang w:val="uk-UA"/>
        </w:rPr>
      </w:pPr>
    </w:p>
    <w:p w:rsidR="00F4442B" w:rsidRDefault="00F4442B" w:rsidP="00F444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4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практичних задач.</w:t>
      </w:r>
    </w:p>
    <w:p w:rsidR="00F4442B" w:rsidRDefault="00F4442B" w:rsidP="00F4442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42B">
        <w:rPr>
          <w:rFonts w:ascii="Times New Roman" w:hAnsi="Times New Roman" w:cs="Times New Roman"/>
          <w:i/>
          <w:sz w:val="28"/>
          <w:szCs w:val="28"/>
          <w:lang w:val="uk-UA"/>
        </w:rPr>
        <w:t>Попереднє зауваження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практичні завдання виконуються у комплексі на дисертаційних матеріалах аспірантів. Комплекс практичних завдань побудов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ний таким чином, щоб кожне наступне завдання продовжувало попереднє і 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ло складнішим за змістом. Виконання всього комплексу узгоджується з наук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вим керівником аспірантів стосовно конкретного завдання і очікуваних резул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татів. Тому нижче наводяться лише методичні вказівки для виконання наукових завдань заданими методами. В кінці кожної практичної роботи проводиться дискусія і обмін думками, обговорюються отримані результати і їх інтерпрет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ція.</w:t>
      </w:r>
    </w:p>
    <w:p w:rsidR="00F4442B" w:rsidRDefault="00F4442B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42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П1.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Робота з літературними джерелами за темою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сертаційного дослідження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, поглиблення понятійно-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ермінологічного апарату.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 Проблеми аналізу та синтезу в дисертаційному дослідженні, обґрунтування його</w:t>
      </w:r>
      <w:r w:rsidR="00A70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логічної побудови та ст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дійності.</w:t>
      </w:r>
    </w:p>
    <w:p w:rsidR="00A70F8E" w:rsidRDefault="00A70F8E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>: Літературні джерела за темою дисертації,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вчальна література з методології суспільно-географічного дослідження.</w:t>
      </w:r>
    </w:p>
    <w:p w:rsidR="00A70F8E" w:rsidRDefault="00A70F8E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виконання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На основі попереднього опрацювання літературних джерел з’ясовується історія розвитку понятійно-термінологічного апарату дисертаційного дослідження, уточнюються інтерпр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тація та тлумачення головних термінів, вносяться авторські уточнення і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лювання. Обґрунтовується стадійність і логічна схема дослідження, уточн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ються завдання стадій аналізу та синтезу.</w:t>
      </w:r>
    </w:p>
    <w:p w:rsidR="00A70F8E" w:rsidRDefault="00A70F8E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Ресурс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годин.</w:t>
      </w:r>
    </w:p>
    <w:p w:rsidR="00A70F8E" w:rsidRDefault="00A70F8E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: повнота таблиці основних понять дослідження, логі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ність обгрунтування стадійності і програми дослідження. Максимальна оцінка 5 балів.</w:t>
      </w:r>
    </w:p>
    <w:p w:rsidR="00A70F8E" w:rsidRDefault="00A70F8E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B0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П2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Вибір та обґрунтування комплексу методів для виконання </w:t>
      </w:r>
      <w:r w:rsidR="004C28B0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дослідження. </w:t>
      </w:r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Первинна статистична обробка емпіричного матеріалу засобами </w:t>
      </w:r>
      <w:r w:rsidR="004C28B0" w:rsidRPr="009C61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28B0" w:rsidRPr="009C619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28B0" w:rsidRPr="009C6193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. Формування інформаційної бази </w:t>
      </w:r>
      <w:r w:rsidR="004C28B0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="004C28B0"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дослідження.</w:t>
      </w:r>
      <w:r w:rsidR="004C2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28B0" w:rsidRPr="004C28B0" w:rsidRDefault="004C28B0" w:rsidP="00A70F8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B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На основі визначення мети, і предметно-об’єктної області дисертаційного дослідження, а також його програми і стаді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обґрунтовується комплекс методів, які мають забезпечити досягнення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ставленої мети. Виконується первинна обробка зібраного раніше емпіричного матеріалу в середовищі </w:t>
      </w:r>
      <w:r w:rsidRPr="009C61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19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6193">
        <w:rPr>
          <w:rFonts w:ascii="Times New Roman" w:hAnsi="Times New Roman" w:cs="Times New Roman"/>
          <w:sz w:val="28"/>
          <w:szCs w:val="28"/>
          <w:lang w:val="en-US"/>
        </w:rPr>
        <w:t>SPSS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спеціальних програм.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фільтрація вихідних даних, перевіряється їх репрезентативність, відбр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ковуються грубі помилки і т.д. Результатом виконання практичної роботи є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рмування інформаційної бази для подальшого аналіз</w:t>
      </w:r>
      <w:r w:rsidR="0053225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8B0" w:rsidRDefault="004C28B0" w:rsidP="004C28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годин.</w:t>
      </w:r>
    </w:p>
    <w:p w:rsidR="004C28B0" w:rsidRDefault="004C28B0" w:rsidP="004C28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>: логічність обгрунтування комплексу методів для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поставлених в дисертації наукових завдань, повнота інформаційної 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зи дослідження.. Максимальна оцінка 5 балів.</w:t>
      </w:r>
    </w:p>
    <w:p w:rsidR="0053225E" w:rsidRPr="0053225E" w:rsidRDefault="0053225E" w:rsidP="00532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B0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Пошуковий варіантний кластерний аналіз в </w:t>
      </w:r>
      <w:r w:rsidRPr="009C6193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. Порівняльний аналіз результатів, Інтерпретація прийнятого варіанту.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 xml:space="preserve">значення діючих факторів. Факторний аналіз в </w:t>
      </w:r>
      <w:r w:rsidRPr="0053225E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>. Інтерпретація гіпотети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3225E">
        <w:rPr>
          <w:rFonts w:ascii="Times New Roman" w:hAnsi="Times New Roman" w:cs="Times New Roman"/>
          <w:sz w:val="28"/>
          <w:szCs w:val="28"/>
          <w:lang w:val="uk-UA"/>
        </w:rPr>
        <w:t>них факторів.</w:t>
      </w:r>
    </w:p>
    <w:p w:rsidR="0053225E" w:rsidRPr="004C28B0" w:rsidRDefault="0053225E" w:rsidP="00532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8B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 основі вихідних даних з інформаційної бази дослідження в середовищі </w:t>
      </w:r>
      <w:r w:rsidRPr="0053225E">
        <w:rPr>
          <w:rFonts w:ascii="Times New Roman" w:hAnsi="Times New Roman" w:cs="Times New Roman"/>
          <w:sz w:val="28"/>
          <w:szCs w:val="28"/>
          <w:lang w:val="en-US"/>
        </w:rPr>
        <w:t>SPSS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варіативний пошуковий класте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ний аналіз для встановлення можливості групування об’єктів за комплексом ознак. В процесі аналізу використовуються комбінації різних методів утворення кластерів і різних дистанційних коефіцієнтів. Далі отримані результати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зуються з точки зору оптимального варіанту групування. Після кластер-аналізу виконується факторний аналіз з метою визначення від 5 до 7 гіпотетичних фа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торів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. Вибір остаточного варіанту здійснюється на основі досягнення необхі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ної остаточної дисперсії і можливості семантичної інтерпретації отриманих ф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кторів.</w:t>
      </w:r>
    </w:p>
    <w:p w:rsidR="0053225E" w:rsidRDefault="0053225E" w:rsidP="00532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Ресурс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25E" w:rsidRDefault="0053225E" w:rsidP="00532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F8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отримання оптимальних дендрограм кластерного ан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8E0">
        <w:rPr>
          <w:rFonts w:ascii="Times New Roman" w:hAnsi="Times New Roman" w:cs="Times New Roman"/>
          <w:sz w:val="28"/>
          <w:szCs w:val="28"/>
          <w:lang w:val="uk-UA"/>
        </w:rPr>
        <w:t>лізу і логічної семантичної інтерпретації діючих факторів.</w:t>
      </w:r>
      <w:r>
        <w:rPr>
          <w:rFonts w:ascii="Times New Roman" w:hAnsi="Times New Roman" w:cs="Times New Roman"/>
          <w:sz w:val="28"/>
          <w:szCs w:val="28"/>
          <w:lang w:val="uk-UA"/>
        </w:rPr>
        <w:t>. Максимальна оцінка 5 балів.</w:t>
      </w:r>
    </w:p>
    <w:p w:rsidR="00B778E0" w:rsidRPr="00B778E0" w:rsidRDefault="00B778E0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8E0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Обґрунтування методів просторового аналізу. Виконання просторового аналізу за спеціальними програмними засобами. Інт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рпретація результатів, визначення просторових закономірностей та особливо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Аналіз часових рядів. Дослідження часового тренду засобами </w:t>
      </w:r>
      <w:r w:rsidRPr="009C61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19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C619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явлення періодичності, частотний аналіз. Тренд-аналіз й інтерпретація його р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зультатів.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>Підсумкове обговорення результатів досліджень.</w:t>
      </w:r>
    </w:p>
    <w:p w:rsidR="00B778E0" w:rsidRDefault="00B778E0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8E0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виконання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основі аналізу можливостей існуючих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дів просторового аналізу виконується вибір основного і допоміжних методів. Відбирається відповідне програмне забезпечення. Далі виконується побудова карт з відображенням просторових особливостей об’єктів, Дається обгрунт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інтерпретації отриманих результатів з точки зору головної мети дисерт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ційної роботи.</w:t>
      </w:r>
    </w:p>
    <w:p w:rsidR="00B778E0" w:rsidRDefault="00B778E0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Друга частина практичної роботи П4 присвячена аналізу часових рядів. За даними інформаційної бази виконується аналіз часового тренду засобами </w:t>
      </w:r>
      <w:r w:rsidRPr="009C619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C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193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9C61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частотний аналіз часових рядів</w:t>
      </w:r>
      <w:r w:rsidR="00BA7F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F1C" w:rsidRDefault="00BA7F1C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практичної роботи дається інтерпретація отриманих 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зультатів. За матеріалами виконаної практичної роботи складається стислий звіт з викладенням результатів роботи.</w:t>
      </w:r>
    </w:p>
    <w:p w:rsidR="00B778E0" w:rsidRPr="00B778E0" w:rsidRDefault="00B778E0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8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 часу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7F1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B778E0" w:rsidRPr="00B778E0" w:rsidRDefault="00B778E0" w:rsidP="00B778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8E0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оцінки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7F1C">
        <w:rPr>
          <w:rFonts w:ascii="Times New Roman" w:hAnsi="Times New Roman" w:cs="Times New Roman"/>
          <w:sz w:val="28"/>
          <w:szCs w:val="28"/>
          <w:lang w:val="uk-UA"/>
        </w:rPr>
        <w:t xml:space="preserve">повнота виконання комплексного </w:t>
      </w:r>
      <w:proofErr w:type="spellStart"/>
      <w:r w:rsidR="00BA7F1C">
        <w:rPr>
          <w:rFonts w:ascii="Times New Roman" w:hAnsi="Times New Roman" w:cs="Times New Roman"/>
          <w:sz w:val="28"/>
          <w:szCs w:val="28"/>
          <w:lang w:val="uk-UA"/>
        </w:rPr>
        <w:t>гакового</w:t>
      </w:r>
      <w:proofErr w:type="spellEnd"/>
      <w:r w:rsidR="00BA7F1C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чіткість висновків та їх змістовної інтерпретації.</w:t>
      </w:r>
      <w:r w:rsidRPr="00B778E0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5 балів.</w:t>
      </w:r>
    </w:p>
    <w:p w:rsidR="00B778E0" w:rsidRDefault="00B778E0" w:rsidP="0053225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25E" w:rsidRDefault="0053225E" w:rsidP="004C28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F8E" w:rsidRPr="00F4442B" w:rsidRDefault="00A70F8E" w:rsidP="00A70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0F8E" w:rsidRPr="00F44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2"/>
    <w:rsid w:val="000A3F98"/>
    <w:rsid w:val="001A2F30"/>
    <w:rsid w:val="002D783B"/>
    <w:rsid w:val="004C28B0"/>
    <w:rsid w:val="0053225E"/>
    <w:rsid w:val="009066A2"/>
    <w:rsid w:val="00A70F8E"/>
    <w:rsid w:val="00B778E0"/>
    <w:rsid w:val="00BA7F1C"/>
    <w:rsid w:val="00F4442B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9066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66A2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66A2"/>
    <w:rPr>
      <w:rFonts w:ascii="Times New Roman" w:eastAsia="Times New Roman" w:hAnsi="Times New Roman" w:cs="Times New Roman"/>
      <w:sz w:val="19"/>
      <w:szCs w:val="19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9066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66A2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66A2"/>
    <w:rPr>
      <w:rFonts w:ascii="Times New Roman" w:eastAsia="Times New Roman" w:hAnsi="Times New Roman" w:cs="Times New Roman"/>
      <w:sz w:val="19"/>
      <w:szCs w:val="19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4</cp:revision>
  <cp:lastPrinted>2018-08-03T15:08:00Z</cp:lastPrinted>
  <dcterms:created xsi:type="dcterms:W3CDTF">2018-07-30T12:28:00Z</dcterms:created>
  <dcterms:modified xsi:type="dcterms:W3CDTF">2018-08-03T15:08:00Z</dcterms:modified>
</cp:coreProperties>
</file>