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AA" w:rsidRDefault="00786AAA" w:rsidP="00786AA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</w:t>
      </w:r>
      <w:r w:rsidRPr="00786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6AAA" w:rsidRDefault="00786AAA" w:rsidP="00786AA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b/>
          <w:sz w:val="28"/>
          <w:szCs w:val="28"/>
          <w:lang w:val="uk-UA"/>
        </w:rPr>
        <w:t>З КУРСУ «ПЕДАГОГІЧНИЙ МЕНЕДЖМЕНТ»</w:t>
      </w:r>
    </w:p>
    <w:p w:rsidR="00786AAA" w:rsidRPr="00786AAA" w:rsidRDefault="00786AAA" w:rsidP="00786AA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Рівні ме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>неджменту в освітній установі.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Аналіз роботи освітнь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>ої установи за навчальний рік.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Стратегічне планування.</w:t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Річне  планування  в  школі.  Основні  напрями  роб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>оти  і  розділи річного плану.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р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>оботи педагогічної ради школи.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нарад при директорові і методичних нарад.</w:t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Регулювання взаємовідно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>син в педагогічному колективі.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Типове положення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 xml:space="preserve"> про загальноосвітню установу.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Локальні ак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>ти загальноосвітньої установи.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Статут  освітньої  установи.  Документація,  </w:t>
      </w:r>
      <w:proofErr w:type="spellStart"/>
      <w:r w:rsidRPr="00786AAA">
        <w:rPr>
          <w:rFonts w:ascii="Times New Roman" w:hAnsi="Times New Roman" w:cs="Times New Roman"/>
          <w:sz w:val="28"/>
          <w:szCs w:val="28"/>
          <w:lang w:val="uk-UA"/>
        </w:rPr>
        <w:t>доповнюю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>ча</w:t>
      </w:r>
      <w:proofErr w:type="spellEnd"/>
      <w:r w:rsidRPr="00786AAA">
        <w:rPr>
          <w:rFonts w:ascii="Times New Roman" w:hAnsi="Times New Roman" w:cs="Times New Roman"/>
          <w:sz w:val="28"/>
          <w:szCs w:val="28"/>
          <w:lang w:val="uk-UA"/>
        </w:rPr>
        <w:t xml:space="preserve">  статут освітньої установи.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Посилення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додаткових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функцій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менеджменту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>умовах управління інноваціями.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Методи інноваційного ме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>неджменту в освітній установі.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Взаємодія соціальних інститутів в 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>управлінні освітніми системами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Сутність, завдання, види і форми організ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>ації методичної роботи в школі</w:t>
      </w:r>
      <w:bookmarkStart w:id="0" w:name="_GoBack"/>
      <w:bookmarkEnd w:id="0"/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Державно-громадська система управління освітою в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 xml:space="preserve"> Україні.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Структурні компон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>енти освітньої системи «школа»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Конт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>роль  як управлінська функція.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Інноваційна діяльність як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 xml:space="preserve"> фактор громадського прогресу.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Нормативно-пр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>авові акти управління освітою.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6AAA" w:rsidRPr="00786AAA" w:rsidRDefault="00786AAA" w:rsidP="00786AAA">
      <w:pPr>
        <w:ind w:left="567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786AA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Педагогічна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самоосвіта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як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індивідуальний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>роцес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  <w:t>підвищення кваліфікації.</w:t>
      </w:r>
      <w:r w:rsidRPr="00786AAA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786AAA" w:rsidRPr="0078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4E"/>
    <w:rsid w:val="001A3D4E"/>
    <w:rsid w:val="00786AAA"/>
    <w:rsid w:val="00E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1A2A"/>
  <w15:chartTrackingRefBased/>
  <w15:docId w15:val="{6CB08AB4-E7C3-44B3-B4F5-4C27F5EC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2018-09-06T07:20:00Z</dcterms:created>
  <dcterms:modified xsi:type="dcterms:W3CDTF">2018-09-06T07:22:00Z</dcterms:modified>
</cp:coreProperties>
</file>