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65C" w:rsidRPr="0006365C" w:rsidRDefault="000636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Scopus, Web of Science,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категорія А</w:t>
      </w:r>
    </w:p>
    <w:p w:rsidR="009A5119" w:rsidRPr="009A5119" w:rsidRDefault="009A5119" w:rsidP="009A51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5119" w:rsidRDefault="009A5119" w:rsidP="009A51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5119">
        <w:rPr>
          <w:rFonts w:ascii="Times New Roman" w:hAnsi="Times New Roman" w:cs="Times New Roman"/>
          <w:sz w:val="28"/>
          <w:szCs w:val="28"/>
          <w:lang w:val="uk-UA"/>
        </w:rPr>
        <w:t xml:space="preserve">Aleksandar Valjarević, Cezar Morar, Ljiljana Brasanac-Bosanac, Tatjana Cirkovic-Mitrovic, Tatjana Djekic, Marija Mihajlović, Ivica Milevski, Golub Culafic, Milan Luković, Liudmyla Niemets, Kateryna Sehida, Gordana Kaplan (2025) Sustainable land use in Moldova: GIS &amp; remote sensing of forests and crops. Land Use Policy Volume 152, May 2025, 107515 </w:t>
      </w:r>
      <w:hyperlink r:id="rId8" w:history="1">
        <w:r w:rsidRPr="00E223C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https://doi.org/10.1016/j.landusepol.2025.107515</w:t>
        </w:r>
      </w:hyperlink>
      <w:r w:rsidRPr="009A5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42A0" w:rsidRPr="00493DA8" w:rsidRDefault="00E242A0" w:rsidP="009A511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93DA8">
        <w:rPr>
          <w:rFonts w:ascii="Times New Roman" w:hAnsi="Times New Roman" w:cs="Times New Roman"/>
          <w:sz w:val="28"/>
          <w:szCs w:val="28"/>
          <w:lang w:val="uk-UA"/>
        </w:rPr>
        <w:t xml:space="preserve">Kravchenko, K., Niemets, L., &amp; Sehida, K. (2024). War consequences and prospects for post-war reconstruction (case of Ukrainian urban agglomerations). Visnyk of V. N. Karazin Kharkiv National University, Series "Geology. Geography. Ecology&amp;quot;, (61), 193-211. </w:t>
      </w:r>
      <w:hyperlink r:id="rId9" w:history="1">
        <w:r w:rsidRPr="00493DA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https://doi.org/10.26565/2410-7360-2024-61-16</w:t>
        </w:r>
      </w:hyperlink>
    </w:p>
    <w:p w:rsidR="00D86EFB" w:rsidRPr="00493DA8" w:rsidRDefault="00D86EFB" w:rsidP="00D86E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3DA8">
        <w:rPr>
          <w:rFonts w:ascii="Times New Roman" w:hAnsi="Times New Roman" w:cs="Times New Roman"/>
          <w:sz w:val="28"/>
          <w:szCs w:val="28"/>
          <w:lang w:val="uk-UA"/>
        </w:rPr>
        <w:t xml:space="preserve">Genişyürek Furkan, Niemets Liudmyla, Tahsin Mehmet Şahin, Sehida Kateryna (2025) </w:t>
      </w:r>
      <w:r w:rsidR="00DF39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F3921" w:rsidRPr="00DF3921">
        <w:rPr>
          <w:rFonts w:ascii="Times New Roman" w:hAnsi="Times New Roman" w:cs="Times New Roman"/>
          <w:sz w:val="28"/>
          <w:szCs w:val="28"/>
          <w:lang w:val="en-US"/>
        </w:rPr>
        <w:t>nvironmental impacts of urban development and sustainable</w:t>
      </w:r>
      <w:r w:rsidRPr="00DF39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F3921" w:rsidRPr="00DF3921">
        <w:rPr>
          <w:rFonts w:ascii="Times New Roman" w:hAnsi="Times New Roman" w:cs="Times New Roman"/>
          <w:sz w:val="28"/>
          <w:szCs w:val="28"/>
          <w:lang w:val="en-US"/>
        </w:rPr>
        <w:t xml:space="preserve">landscape management: the case of </w:t>
      </w:r>
      <w:r w:rsidR="00DF3921">
        <w:rPr>
          <w:rFonts w:ascii="Times New Roman" w:hAnsi="Times New Roman" w:cs="Times New Roman"/>
          <w:sz w:val="28"/>
          <w:szCs w:val="28"/>
          <w:lang w:val="en-US"/>
        </w:rPr>
        <w:t>Muratpaşa, A</w:t>
      </w:r>
      <w:r w:rsidR="00DF3921" w:rsidRPr="00DF3921">
        <w:rPr>
          <w:rFonts w:ascii="Times New Roman" w:hAnsi="Times New Roman" w:cs="Times New Roman"/>
          <w:sz w:val="28"/>
          <w:szCs w:val="28"/>
          <w:lang w:val="en-US"/>
        </w:rPr>
        <w:t>ntalya</w:t>
      </w:r>
      <w:r w:rsidRPr="00493DA8">
        <w:rPr>
          <w:rFonts w:ascii="Times New Roman" w:hAnsi="Times New Roman" w:cs="Times New Roman"/>
          <w:sz w:val="28"/>
          <w:szCs w:val="28"/>
          <w:lang w:val="uk-UA"/>
        </w:rPr>
        <w:t>. Visnyk of V. N. Karazin Kharkiv National University, Series "Geology. Geography. Ecology&amp;quot;, (62)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EF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подано до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Pr="00D86EFB">
        <w:rPr>
          <w:rFonts w:ascii="Times New Roman" w:hAnsi="Times New Roman" w:cs="Times New Roman"/>
          <w:i/>
          <w:sz w:val="28"/>
          <w:szCs w:val="28"/>
          <w:lang w:val="uk-UA"/>
        </w:rPr>
        <w:t>руку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EFB" w:rsidRDefault="00493DA8" w:rsidP="00493D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6EF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Статті НАТО ми сюди включаємо чи ні?</w:t>
      </w:r>
      <w:r w:rsidR="00D86EF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="00D86EFB" w:rsidRPr="00D86EF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Думаю, варто, бо не поманю, щоб минулого навчального року ми включали. Якщо НЕ треба, удали</w:t>
      </w:r>
      <w:r w:rsidR="00D86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EFB" w:rsidRPr="00D86EFB" w:rsidRDefault="00D86EFB" w:rsidP="00D86E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Niemets, L., Sehida, K. Babichev, A., Vila Subiros, J., Morar, C., Grama, V., Kravchenko K. &amp; Telebienieva I. (2024). Issues of the Military Brownfields in Ukraine: A Sustainable Development Perspective. In: Morar, C., Berman, L., Erdal, S., Niemets, L. (eds). Achieving Sustainability in Ukraine through Military Brownfields Redevelopment. NATOARW 2023. NATO Science for Peace and Security Series C: Environmental Security. Dordrecht: Springer, 83-95. </w:t>
      </w:r>
      <w:hyperlink r:id="rId10" w:history="1">
        <w:r w:rsidRPr="0004136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https://doi.org/10.1007/978-94-024-2278-8_9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EFB" w:rsidRPr="00D86EFB" w:rsidRDefault="00D86EFB" w:rsidP="00D86E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Pohrebskyi, T., Kostrikov, S., Sehida K. &amp; Niemets, O. (2024). Transformation of Greenfields in Ukraine. In: Morar, C., Berman, L., Erdal, S., Niemets, L. (eds). Achieving Sustainability in Ukraine through Military Brownfields Redevelopment. NATOARW 2023. NATO Science for Peace and Security Series C: Environmental Security. Dordrecht: Springer, 97-105. </w:t>
      </w:r>
      <w:hyperlink r:id="rId11" w:history="1">
        <w:r w:rsidRPr="0004136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https://doi.org/10.1007/978-94-024-2278-8_10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EFB" w:rsidRPr="00D86EFB" w:rsidRDefault="00D86EFB" w:rsidP="00D86E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Vila Subiros, J., Niemets, L., &amp; Sehida, K. (2024). The Impact of the Russian Invasion of Ukraine on Protected Natural Areas: A Quantitative Approach and the Opportunities and Challenges of Nature Restoration. In: Morar, C., Berman, L., Erdal, S., Niemets, L. (eds). Achieving Sustainability in Ukraine through Military Brownfields Redevelopment. NATOARW 2023. NATO Science for Peace and Security Series C: Environmental Security. Dordrecht: Springer, 125-138. </w:t>
      </w:r>
      <w:hyperlink r:id="rId12" w:history="1">
        <w:r w:rsidRPr="0004136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https://doi.org/10.1007/978-94-024-2278-8_12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EFB" w:rsidRDefault="00D86EFB" w:rsidP="00D86E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6EF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Mezentsev, K., Niemets, L., &amp; Sehida, K. (2024). Transforming Brownfields: Urban Renewal in Ukrainian Cities. In: Morar, C., Berman, L., Erdal, S., Niemets, L. (eds). Achieving Sustainability in Ukraine through Military Brownfields Redevelopment. NATOARW 2023. NATO Science for Peace and Security Series C: Environmental Security. Dordrecht: Springer, 289-299. </w:t>
      </w:r>
      <w:hyperlink r:id="rId13" w:history="1">
        <w:r w:rsidRPr="0004136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https://doi.org/10.1007/978-94-024-2278-8_24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E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86EFB" w:rsidRPr="00D86EFB" w:rsidRDefault="00D86EFB" w:rsidP="00493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Pr="00D86EF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Фахові, категорія Б</w:t>
      </w:r>
    </w:p>
    <w:p w:rsidR="00493DA8" w:rsidRPr="00493DA8" w:rsidRDefault="00493D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3DA8">
        <w:rPr>
          <w:rFonts w:ascii="Times New Roman" w:hAnsi="Times New Roman" w:cs="Times New Roman"/>
          <w:sz w:val="28"/>
          <w:szCs w:val="28"/>
          <w:lang w:val="uk-UA"/>
        </w:rPr>
        <w:t xml:space="preserve">Маляренко, К., Решетняк В., Сегіда К. &amp; Суптело О. (2024). Economic inequality in the context of sustainable development: a geographical perspective. Часопис соціально-економічної географії: міжрегіон. зб. наукових праць. Харків, ХНУ імені В. Н. Каразіна, 2024, вип. 37 </w:t>
      </w:r>
      <w:hyperlink r:id="rId14" w:history="1">
        <w:r w:rsidRPr="00493DA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https://periodicals.karazin.ua/socecongeo/</w:t>
        </w:r>
      </w:hyperlink>
    </w:p>
    <w:p w:rsidR="00493DA8" w:rsidRDefault="00D86EF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Планую і в перший випуск Часопис 2025</w:t>
      </w:r>
    </w:p>
    <w:p w:rsidR="00D86EFB" w:rsidRPr="00D86EFB" w:rsidRDefault="00D86EF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6EFB">
        <w:rPr>
          <w:rFonts w:ascii="Times New Roman" w:hAnsi="Times New Roman" w:cs="Times New Roman"/>
          <w:b/>
          <w:sz w:val="28"/>
          <w:szCs w:val="28"/>
          <w:lang w:val="uk-UA"/>
        </w:rPr>
        <w:t>Матеріали конференцій:</w:t>
      </w:r>
    </w:p>
    <w:p w:rsidR="0092391D" w:rsidRPr="00D86EFB" w:rsidRDefault="0092391D" w:rsidP="00493DA8">
      <w:pPr>
        <w:pStyle w:val="a4"/>
        <w:numPr>
          <w:ilvl w:val="0"/>
          <w:numId w:val="1"/>
        </w:numPr>
        <w:tabs>
          <w:tab w:val="left" w:pos="8540"/>
        </w:tabs>
        <w:spacing w:line="276" w:lineRule="auto"/>
        <w:ind w:left="578" w:right="0" w:hanging="578"/>
        <w:jc w:val="both"/>
        <w:rPr>
          <w:bCs/>
          <w:iCs w:val="0"/>
        </w:rPr>
      </w:pPr>
      <w:r w:rsidRPr="00D86EFB">
        <w:rPr>
          <w:bCs/>
          <w:iCs w:val="0"/>
        </w:rPr>
        <w:t xml:space="preserve">Сегіда К.Ю., Чехов С.С. Потенціал застосування інструментів мережевого аналізу для оптимізації просторової структури системи споруд цивільного захисту населення м. Харкова. </w:t>
      </w:r>
      <w:r w:rsidRPr="00D86EFB">
        <w:rPr>
          <w:bCs/>
          <w:i/>
        </w:rPr>
        <w:t>Суспільно-географічні чинники розвитку регіонів</w:t>
      </w:r>
      <w:r w:rsidRPr="00D86EFB">
        <w:rPr>
          <w:bCs/>
          <w:iCs w:val="0"/>
        </w:rPr>
        <w:t>: матеріали ІХ міжнар. наук.-практ. інтернет-конференції (м. Луцьк, 8–9 лист. 2024 р.). Луцьк, 2024. С. 91–95.</w:t>
      </w:r>
    </w:p>
    <w:p w:rsidR="0092391D" w:rsidRPr="00D86EFB" w:rsidRDefault="0092391D" w:rsidP="00493DA8">
      <w:pPr>
        <w:pStyle w:val="a4"/>
        <w:numPr>
          <w:ilvl w:val="0"/>
          <w:numId w:val="1"/>
        </w:numPr>
        <w:tabs>
          <w:tab w:val="left" w:pos="8540"/>
        </w:tabs>
        <w:spacing w:line="276" w:lineRule="auto"/>
        <w:ind w:left="578" w:right="0" w:hanging="578"/>
        <w:jc w:val="both"/>
        <w:rPr>
          <w:bCs/>
          <w:iCs w:val="0"/>
        </w:rPr>
      </w:pPr>
      <w:r w:rsidRPr="00D86EFB">
        <w:rPr>
          <w:bCs/>
          <w:iCs w:val="0"/>
        </w:rPr>
        <w:t xml:space="preserve">Сегіда К.Ю., Чехов С.С. Урбогеосистемний підхід до захисту житлової забудови від атак безпілотників (на прикладі м. Київ). </w:t>
      </w:r>
      <w:r w:rsidRPr="00D86EFB">
        <w:rPr>
          <w:bCs/>
          <w:i/>
        </w:rPr>
        <w:t>Регіон – 2025: суспільно-географічні аспекти</w:t>
      </w:r>
      <w:r w:rsidRPr="00D86EFB">
        <w:rPr>
          <w:bCs/>
          <w:iCs w:val="0"/>
        </w:rPr>
        <w:t xml:space="preserve">: матеріали міжнародної науково-практичної конференції (м. Харків, 25 квіт. 2025 р.). Харків, 2025. </w:t>
      </w:r>
      <w:r w:rsidRPr="00D86EFB">
        <w:rPr>
          <w:bCs/>
          <w:i/>
          <w:iCs w:val="0"/>
        </w:rPr>
        <w:t>У друці</w:t>
      </w:r>
    </w:p>
    <w:p w:rsidR="00D86EFB" w:rsidRPr="00D86EFB" w:rsidRDefault="00D86EFB" w:rsidP="00D86EFB">
      <w:pPr>
        <w:pStyle w:val="a5"/>
        <w:numPr>
          <w:ilvl w:val="0"/>
          <w:numId w:val="1"/>
        </w:numPr>
        <w:tabs>
          <w:tab w:val="left" w:pos="426"/>
        </w:tabs>
        <w:spacing w:after="0" w:line="276" w:lineRule="auto"/>
        <w:ind w:left="578" w:hanging="57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86EFB">
        <w:rPr>
          <w:rFonts w:ascii="Times New Roman" w:eastAsia="Times New Roman" w:hAnsi="Times New Roman"/>
          <w:sz w:val="28"/>
          <w:szCs w:val="28"/>
        </w:rPr>
        <w:t xml:space="preserve">Решетняк В.В., Сегіда К.Ю.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D86EFB">
        <w:rPr>
          <w:rFonts w:ascii="Times New Roman" w:eastAsia="Times New Roman" w:hAnsi="Times New Roman"/>
          <w:sz w:val="28"/>
          <w:szCs w:val="28"/>
        </w:rPr>
        <w:t xml:space="preserve">екреаційний потенціал національних природних парків у деокупованих і прифронтових регіонах: виклики доступності для учнів із особливими освітніми потребами та шляхи сталого розвитку. </w:t>
      </w:r>
      <w:r w:rsidRPr="00D86EFB">
        <w:rPr>
          <w:rFonts w:ascii="Times New Roman" w:eastAsia="Times New Roman" w:hAnsi="Times New Roman"/>
          <w:i/>
          <w:sz w:val="28"/>
          <w:szCs w:val="28"/>
        </w:rPr>
        <w:t>Харківський природничий форум,</w:t>
      </w:r>
      <w:r w:rsidRPr="00D86EFB">
        <w:rPr>
          <w:rFonts w:ascii="Times New Roman" w:eastAsia="Times New Roman" w:hAnsi="Times New Roman"/>
          <w:sz w:val="28"/>
          <w:szCs w:val="28"/>
        </w:rPr>
        <w:t xml:space="preserve"> 14-15 травня 2025 р. </w:t>
      </w:r>
      <w:r w:rsidRPr="00D86EFB">
        <w:rPr>
          <w:rFonts w:ascii="Times New Roman" w:eastAsia="Times New Roman" w:hAnsi="Times New Roman"/>
          <w:i/>
          <w:sz w:val="28"/>
          <w:szCs w:val="28"/>
        </w:rPr>
        <w:t>у друці</w:t>
      </w:r>
    </w:p>
    <w:p w:rsidR="00236C72" w:rsidRPr="00D86EFB" w:rsidRDefault="0092391D" w:rsidP="00493DA8">
      <w:pPr>
        <w:pStyle w:val="a4"/>
        <w:numPr>
          <w:ilvl w:val="0"/>
          <w:numId w:val="1"/>
        </w:numPr>
        <w:tabs>
          <w:tab w:val="left" w:pos="8540"/>
        </w:tabs>
        <w:spacing w:line="276" w:lineRule="auto"/>
        <w:ind w:left="578" w:right="0" w:hanging="578"/>
        <w:jc w:val="both"/>
        <w:rPr>
          <w:szCs w:val="28"/>
          <w:lang w:val="en-US"/>
        </w:rPr>
      </w:pPr>
      <w:r w:rsidRPr="00D86EFB">
        <w:rPr>
          <w:bCs/>
          <w:iCs w:val="0"/>
          <w:lang w:val="ru-RU"/>
        </w:rPr>
        <w:t xml:space="preserve">Сегіда К.Ю., </w:t>
      </w:r>
      <w:r w:rsidRPr="00D86EFB">
        <w:rPr>
          <w:bCs/>
          <w:iCs w:val="0"/>
        </w:rPr>
        <w:t>Чехов</w:t>
      </w:r>
      <w:r w:rsidRPr="00D86EFB">
        <w:rPr>
          <w:bCs/>
          <w:iCs w:val="0"/>
          <w:lang w:val="ru-RU"/>
        </w:rPr>
        <w:t xml:space="preserve"> С.С.</w:t>
      </w:r>
      <w:r w:rsidRPr="00D86EFB">
        <w:rPr>
          <w:bCs/>
          <w:iCs w:val="0"/>
        </w:rPr>
        <w:t xml:space="preserve"> Теоретичні аспекти використання гравітаційної моделі Хаффа для оптимізації просторової структури системи споруд цивільного захисту населення м. Харкова. </w:t>
      </w:r>
      <w:r w:rsidRPr="00D86EFB">
        <w:rPr>
          <w:bCs/>
          <w:i/>
        </w:rPr>
        <w:t>Суспільно-географічні чинники розвитку регіонів</w:t>
      </w:r>
      <w:r w:rsidRPr="00D86EFB">
        <w:rPr>
          <w:bCs/>
          <w:iCs w:val="0"/>
        </w:rPr>
        <w:t xml:space="preserve">: матеріали Х міжнар. наук.-практ. інтернет-конференції (м. Луцьк, 15–16 трав. 2025 р.). Луцьк, 2025. </w:t>
      </w:r>
      <w:r w:rsidRPr="00D86EFB">
        <w:rPr>
          <w:bCs/>
          <w:i/>
          <w:iCs w:val="0"/>
        </w:rPr>
        <w:t>У друці</w:t>
      </w:r>
      <w:r w:rsidRPr="00D86EFB">
        <w:rPr>
          <w:szCs w:val="28"/>
        </w:rPr>
        <w:t xml:space="preserve"> </w:t>
      </w:r>
    </w:p>
    <w:p w:rsidR="00236C72" w:rsidRPr="00D86EFB" w:rsidRDefault="00236C72" w:rsidP="00493DA8">
      <w:pPr>
        <w:pStyle w:val="a5"/>
        <w:numPr>
          <w:ilvl w:val="0"/>
          <w:numId w:val="1"/>
        </w:numPr>
        <w:tabs>
          <w:tab w:val="left" w:pos="426"/>
        </w:tabs>
        <w:spacing w:after="0" w:line="276" w:lineRule="auto"/>
        <w:ind w:left="578" w:hanging="578"/>
        <w:jc w:val="both"/>
        <w:rPr>
          <w:rFonts w:ascii="Times New Roman" w:eastAsia="Times New Roman" w:hAnsi="Times New Roman"/>
          <w:sz w:val="28"/>
          <w:szCs w:val="28"/>
        </w:rPr>
      </w:pPr>
      <w:r w:rsidRPr="00D86EFB">
        <w:rPr>
          <w:rFonts w:ascii="Times New Roman" w:eastAsia="Times New Roman" w:hAnsi="Times New Roman"/>
          <w:sz w:val="28"/>
          <w:szCs w:val="28"/>
        </w:rPr>
        <w:t xml:space="preserve">Сегіда К.Ю., Думнов О.С. Регіональні ринки праці України: (не)стікість в умовах війни / </w:t>
      </w:r>
      <w:r w:rsidRPr="00DF3921">
        <w:rPr>
          <w:rFonts w:ascii="Times New Roman" w:eastAsia="Times New Roman" w:hAnsi="Times New Roman"/>
          <w:i/>
          <w:sz w:val="28"/>
          <w:szCs w:val="28"/>
        </w:rPr>
        <w:t>IV Міжнародній науково-практичній конференції «Міждисциплінарні інтеграційні процеси у системі географічної, туризмологічної та екологічної науки»</w:t>
      </w:r>
      <w:r w:rsidRPr="00D86EFB">
        <w:rPr>
          <w:rFonts w:ascii="Times New Roman" w:eastAsia="Times New Roman" w:hAnsi="Times New Roman"/>
          <w:sz w:val="28"/>
          <w:szCs w:val="28"/>
        </w:rPr>
        <w:t xml:space="preserve">, 15-16 травня 2025, м.Тернопіль </w:t>
      </w:r>
      <w:r w:rsidRPr="00D86EFB">
        <w:rPr>
          <w:rFonts w:ascii="Times New Roman" w:eastAsia="Times New Roman" w:hAnsi="Times New Roman"/>
          <w:i/>
          <w:sz w:val="28"/>
          <w:szCs w:val="28"/>
        </w:rPr>
        <w:t>у друці</w:t>
      </w:r>
    </w:p>
    <w:p w:rsidR="0092391D" w:rsidRPr="00493DA8" w:rsidRDefault="0092391D" w:rsidP="00236C72">
      <w:pPr>
        <w:pStyle w:val="a4"/>
        <w:tabs>
          <w:tab w:val="left" w:pos="8540"/>
        </w:tabs>
        <w:spacing w:line="276" w:lineRule="auto"/>
        <w:ind w:left="709" w:right="0"/>
        <w:jc w:val="both"/>
        <w:rPr>
          <w:szCs w:val="28"/>
        </w:rPr>
      </w:pPr>
      <w:r w:rsidRPr="00C02891">
        <w:rPr>
          <w:szCs w:val="28"/>
        </w:rPr>
        <w:fldChar w:fldCharType="begin"/>
      </w:r>
      <w:r w:rsidRPr="00BC46FD">
        <w:rPr>
          <w:szCs w:val="28"/>
        </w:rPr>
        <w:instrText xml:space="preserve"> ADDIN ZOTERO_BIBL {"uncited":[],"omitted":[],"custom":[]} CSL_BIBLIOGRAPHY </w:instrText>
      </w:r>
      <w:r w:rsidRPr="00C02891">
        <w:rPr>
          <w:szCs w:val="28"/>
        </w:rPr>
        <w:fldChar w:fldCharType="separate"/>
      </w:r>
    </w:p>
    <w:p w:rsidR="0092391D" w:rsidRPr="00E242A0" w:rsidRDefault="0092391D" w:rsidP="0092391D">
      <w:pPr>
        <w:rPr>
          <w:lang w:val="uk-UA"/>
        </w:rPr>
      </w:pPr>
      <w:r w:rsidRPr="00C02891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sectPr w:rsidR="0092391D" w:rsidRPr="00E242A0" w:rsidSect="00D86E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D62" w:rsidRDefault="001C2D62" w:rsidP="0006365C">
      <w:pPr>
        <w:spacing w:after="0" w:line="240" w:lineRule="auto"/>
      </w:pPr>
      <w:r>
        <w:separator/>
      </w:r>
    </w:p>
  </w:endnote>
  <w:endnote w:type="continuationSeparator" w:id="0">
    <w:p w:rsidR="001C2D62" w:rsidRDefault="001C2D62" w:rsidP="00063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D62" w:rsidRDefault="001C2D62" w:rsidP="0006365C">
      <w:pPr>
        <w:spacing w:after="0" w:line="240" w:lineRule="auto"/>
      </w:pPr>
      <w:r>
        <w:separator/>
      </w:r>
    </w:p>
  </w:footnote>
  <w:footnote w:type="continuationSeparator" w:id="0">
    <w:p w:rsidR="001C2D62" w:rsidRDefault="001C2D62" w:rsidP="00063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A32EC"/>
    <w:multiLevelType w:val="hybridMultilevel"/>
    <w:tmpl w:val="E424E43E"/>
    <w:lvl w:ilvl="0" w:tplc="0409000F">
      <w:start w:val="1"/>
      <w:numFmt w:val="decimal"/>
      <w:lvlText w:val="%1."/>
      <w:lvlJc w:val="left"/>
      <w:pPr>
        <w:ind w:left="3552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4272" w:hanging="360"/>
      </w:pPr>
    </w:lvl>
    <w:lvl w:ilvl="2" w:tplc="FFFFFFFF" w:tentative="1">
      <w:start w:val="1"/>
      <w:numFmt w:val="lowerRoman"/>
      <w:lvlText w:val="%3."/>
      <w:lvlJc w:val="right"/>
      <w:pPr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ind w:left="6432" w:hanging="360"/>
      </w:pPr>
    </w:lvl>
    <w:lvl w:ilvl="5" w:tplc="FFFFFFFF" w:tentative="1">
      <w:start w:val="1"/>
      <w:numFmt w:val="lowerRoman"/>
      <w:lvlText w:val="%6."/>
      <w:lvlJc w:val="right"/>
      <w:pPr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">
    <w:nsid w:val="0A9F34AC"/>
    <w:multiLevelType w:val="hybridMultilevel"/>
    <w:tmpl w:val="21CA8362"/>
    <w:lvl w:ilvl="0" w:tplc="254EA33E">
      <w:start w:val="1"/>
      <w:numFmt w:val="decimal"/>
      <w:lvlText w:val="%1."/>
      <w:lvlJc w:val="left"/>
      <w:pPr>
        <w:ind w:left="720" w:hanging="360"/>
      </w:pPr>
      <w:rPr>
        <w:rFonts w:eastAsia="Aptos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2A"/>
    <w:rsid w:val="0006365C"/>
    <w:rsid w:val="001C2D62"/>
    <w:rsid w:val="00236C72"/>
    <w:rsid w:val="00493DA8"/>
    <w:rsid w:val="00653754"/>
    <w:rsid w:val="0092391D"/>
    <w:rsid w:val="009A5119"/>
    <w:rsid w:val="00C52298"/>
    <w:rsid w:val="00D6262A"/>
    <w:rsid w:val="00D86EFB"/>
    <w:rsid w:val="00DF3921"/>
    <w:rsid w:val="00E2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D7426-5FC2-484B-B572-B7C59C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2A0"/>
    <w:rPr>
      <w:color w:val="0563C1" w:themeColor="hyperlink"/>
      <w:u w:val="single"/>
    </w:rPr>
  </w:style>
  <w:style w:type="paragraph" w:styleId="a4">
    <w:name w:val="Block Text"/>
    <w:basedOn w:val="a"/>
    <w:rsid w:val="0092391D"/>
    <w:pPr>
      <w:spacing w:after="0" w:line="240" w:lineRule="auto"/>
      <w:ind w:left="1680" w:right="1657"/>
      <w:jc w:val="center"/>
    </w:pPr>
    <w:rPr>
      <w:rFonts w:ascii="Times New Roman" w:eastAsia="Times New Roman" w:hAnsi="Times New Roman" w:cs="Times New Roman"/>
      <w:iCs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36C72"/>
    <w:pPr>
      <w:spacing w:line="278" w:lineRule="auto"/>
      <w:ind w:left="720"/>
      <w:contextualSpacing/>
    </w:pPr>
    <w:rPr>
      <w:rFonts w:ascii="Aptos" w:eastAsia="Aptos" w:hAnsi="Aptos" w:cs="Times New Roman"/>
      <w:kern w:val="2"/>
      <w:sz w:val="24"/>
      <w:szCs w:val="24"/>
      <w:lang w:val="uk-UA"/>
    </w:rPr>
  </w:style>
  <w:style w:type="paragraph" w:styleId="a6">
    <w:name w:val="footnote text"/>
    <w:basedOn w:val="a"/>
    <w:link w:val="a7"/>
    <w:uiPriority w:val="99"/>
    <w:semiHidden/>
    <w:unhideWhenUsed/>
    <w:rsid w:val="0006365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6365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636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ndusepol.2025.107515" TargetMode="External"/><Relationship Id="rId13" Type="http://schemas.openxmlformats.org/officeDocument/2006/relationships/hyperlink" Target="https://doi.org/10.1007/978-94-024-2278-8_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07/978-94-024-2278-8_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978-94-024-2278-8_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07/978-94-024-2278-8_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6565/2410-7360-2024-61-16" TargetMode="External"/><Relationship Id="rId14" Type="http://schemas.openxmlformats.org/officeDocument/2006/relationships/hyperlink" Target="https://periodicals.karazin.ua/socecong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1024D-3523-453C-B991-30C9C5C1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2025-05-27T05:15:00Z</dcterms:created>
  <dcterms:modified xsi:type="dcterms:W3CDTF">2025-05-27T09:29:00Z</dcterms:modified>
</cp:coreProperties>
</file>