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F7" w:rsidRPr="00A1588B" w:rsidRDefault="00EC4FF7" w:rsidP="00271166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588B">
        <w:rPr>
          <w:rFonts w:ascii="Times New Roman" w:hAnsi="Times New Roman"/>
          <w:sz w:val="28"/>
          <w:szCs w:val="28"/>
        </w:rPr>
        <w:t>Розд</w:t>
      </w:r>
      <w:r w:rsidRPr="00A1588B"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 w:rsidRPr="00A1588B">
        <w:rPr>
          <w:rFonts w:ascii="Times New Roman" w:hAnsi="Times New Roman"/>
          <w:sz w:val="28"/>
          <w:szCs w:val="28"/>
          <w:lang w:val="uk-UA"/>
        </w:rPr>
        <w:t xml:space="preserve"> 2. </w:t>
      </w:r>
    </w:p>
    <w:p w:rsidR="00EC4FF7" w:rsidRPr="00EC4FF7" w:rsidRDefault="00EC4FF7" w:rsidP="00271166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FF7">
        <w:rPr>
          <w:rFonts w:ascii="Times New Roman" w:hAnsi="Times New Roman"/>
          <w:b/>
          <w:sz w:val="28"/>
          <w:szCs w:val="28"/>
          <w:lang w:val="uk-UA"/>
        </w:rPr>
        <w:t>Лекція</w:t>
      </w:r>
      <w:r w:rsidR="002F6889" w:rsidRPr="00EC4F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FF7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A1588B" w:rsidRPr="00A1588B" w:rsidRDefault="00EC4FF7" w:rsidP="00271166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1588B">
        <w:rPr>
          <w:rFonts w:ascii="Times New Roman" w:hAnsi="Times New Roman"/>
          <w:b/>
          <w:i/>
          <w:sz w:val="28"/>
          <w:szCs w:val="28"/>
          <w:lang w:val="uk-UA"/>
        </w:rPr>
        <w:t xml:space="preserve">Формування та розвиток західноєвропейської </w:t>
      </w:r>
    </w:p>
    <w:p w:rsidR="002F6889" w:rsidRPr="00A1588B" w:rsidRDefault="00EC4FF7" w:rsidP="00271166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1588B">
        <w:rPr>
          <w:rFonts w:ascii="Times New Roman" w:hAnsi="Times New Roman"/>
          <w:b/>
          <w:i/>
          <w:sz w:val="28"/>
          <w:szCs w:val="28"/>
          <w:lang w:val="uk-UA"/>
        </w:rPr>
        <w:t>суспільно-географічної школи</w:t>
      </w:r>
    </w:p>
    <w:p w:rsidR="00EC4FF7" w:rsidRPr="00271166" w:rsidRDefault="00EC4FF7" w:rsidP="00A158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1166">
        <w:rPr>
          <w:rFonts w:ascii="Times New Roman" w:hAnsi="Times New Roman"/>
          <w:b/>
          <w:sz w:val="28"/>
          <w:szCs w:val="28"/>
          <w:lang w:val="uk-UA"/>
        </w:rPr>
        <w:t xml:space="preserve">Витоки, зародження, становлення та розвиток наукових суспільно-географічних шкіл у країнах </w:t>
      </w:r>
      <w:bookmarkStart w:id="0" w:name="_GoBack"/>
      <w:r w:rsidRPr="00271166">
        <w:rPr>
          <w:rFonts w:ascii="Times New Roman" w:hAnsi="Times New Roman"/>
          <w:b/>
          <w:sz w:val="28"/>
          <w:szCs w:val="28"/>
          <w:lang w:val="uk-UA"/>
        </w:rPr>
        <w:t>з</w:t>
      </w:r>
      <w:bookmarkEnd w:id="0"/>
      <w:r w:rsidRPr="00271166">
        <w:rPr>
          <w:rFonts w:ascii="Times New Roman" w:hAnsi="Times New Roman"/>
          <w:b/>
          <w:sz w:val="28"/>
          <w:szCs w:val="28"/>
          <w:lang w:val="uk-UA"/>
        </w:rPr>
        <w:t>ахідної Європи.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>Географічне дослідження країн в тій чи іншій формі зародилося одночасно з виникненням цивілізації у відповідь на зростаючі потреби людини у пізнанні інших територій.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>Античні часи (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прибл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. VIII ст. до н. е. — V ст. н. е.). У цей період виникли,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розвинулися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і занепали перші державні утворення. Деякі з них (Давній Єгипет, Карфаген, Давня Греція, Давній Рим тощо) зробили великий внесок у світову цивілізацію: започаткували політико-територіальний поділ географічного простору, перші міждержавні контакти, територіальні загарбання. У ті часи способом здобуття територій були війни, а головним засобом територіальних змін на політичній карті — погрози силою.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>Знання античних вчених про інші землі та країни сприяли відкриттю загальних географічних закономірностей.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>Перші природничо-наукові уявлення виникли у Давній Греції, де географія як одна з основних наук розвивалася у кількох напрямах. Вважають, що саме тут зародилося країнознавство як географічний опис, проте науковість описів відповідала рівню розвитку тодішньої античної науки.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 xml:space="preserve">У VI ст. до н. е. потреби мореплавців і торгівців зумовили необхідність в описах суходолу та морських берегів. На межі VI—V ст. до н. е.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Гекателій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прибл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. 546—480 до н. е.) з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Мілету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у своїй країнознавчій праці «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Землеопис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» охарактеризував усі відомі грекам на той час країни. Так був започаткований країнознавчий описовий напрям у географії. Давні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периплани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(описи морських подорожей) було створено у VI ст. до н. е. Поширенню грецької культури сприяли походи Олександра Македонського (356—323 до н. е.) на Близький і Середній Схід, до Середньої Азії та Індії. Країнознавчі знання збагачувалися також завдяки грецьким колоніям, які виникали на берегах Чорного моря (Ольвія, Феодосія, біля Керчі та Тамані тощо). Одним з перших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кра-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їнознавців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вважають Геродота (490/480—425 до н. е.), який у своїй дев’ятитомній праці «Історія» описав природу, населення, звичаї, релігію багатьох країн (Мала Азія, Вавилон, Єгипет, Фінікія, Сицилія, Індія, Сахара, скіфський народ тощо), а також Чорне море, ріки Дніпро, Дністер, Дон та ін.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lastRenderedPageBreak/>
        <w:t xml:space="preserve">Давні єгиптяни мали уявлення про східне узбережжя Середземного моря, відкрили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Сінайський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півострів, плавали по Червоному морю, на півдні захопили територію до Нубії, а на заході дійшли до Лівійської пустелі. Однак сучасні вчені вважають, що відомостей про західну частину Середземного моря вони не мали.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 xml:space="preserve">Торгівля та військові завоювання стають основним джерелом пізнання інших країн і територій. Давні вавилоняни мали торговельні зв’язки з народами Іранського нагір’я і, можливо, Індії. Ассірійці захопили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Елам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та Ізраїль. Давні перси загарбали Середню Азію (пустелю Каракуми, Ферганську долину) та басейн Інду. Це дало поштовх розвитку країнознавчих і географічних знань загалом.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 xml:space="preserve">Тогочасна культура давніх китайців була достатньо розвинутою, що пов’язане з розширенням кордонів держави на схід і захід, установленням торгових відносин із сусідніми країнами, розвитком географічних описів та картографічних умінь (китайці знали властивості магнітної стрілки, виготовляли дерев’яні карти). Китайці захопили Памір, дійшли до рік Амудар’я і Сирдар’я, пустелі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Такла-Макан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, півострова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Індостан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 xml:space="preserve">Античне країнознавство збагатили й римляни. Спершу географічні відомості жителі Давнього Риму отримували у завойовницьких походах до Середземномор’я (Італії, Південної Галлії, Іспанії, Македонії, Карфагену, Єгипту). У ст. н. е. римляни захопили Німеччину, Скандинавію і Східну Європу. Вони зміцнювали торгові відносини із народами Індії та Китаю. Вагомий внесок у розвиток країнознавства зробив римський вчений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Страбон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(64/63 до н. е. — 23/24 н. е.). У своїй 17-томній праці «Географія» він описав відомі країни Європи, Північної Африки, Близького та Середнього Сходу, Індії, а також розглянув деякі питання загальної географії. «Географія»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Страбона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— описове країнознавство, в якому наявні ознаки майбутньої хронологічної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концепції.</w:t>
      </w:r>
      <w:proofErr w:type="spellEnd"/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Загальногеографічні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>, зокрема країнознавчі, знання і стали основою країнознавчої науки.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>Середньовіччя (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прибл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. III—IV ст. н. е. — XIV—XV ст. н. е.). В епоху феодалізму за певного зростання рівня розвитку продуктивних сил державні кордони хоча і тяжіли до природно-географічних меж, але частіше обумовлювалися такими чинниками, як формування внутрішнього ринку, спільність економічних інтересів, поступове подолання господарської відокремленості певних районів. У багатьох середньовічних державах, особливо в Європі, до XVI ст. посилилися доцентрові тенденції, усталилося політико-територіальне об’єднання різних районів, частково була подолана </w:t>
      </w:r>
      <w:r w:rsidRPr="00B910CE">
        <w:rPr>
          <w:rFonts w:ascii="Times New Roman" w:hAnsi="Times New Roman"/>
          <w:sz w:val="28"/>
          <w:szCs w:val="28"/>
          <w:lang w:val="uk-UA"/>
        </w:rPr>
        <w:lastRenderedPageBreak/>
        <w:t>феодальна роздробленість. Найбільш політично-територіально централізованими були Англія, Франція, Іспанія, Португалія, Руська держава.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>Домінування натурально-господарських відносин, обмеження торгівлі, політичних і культурних зв’язків негативно впливали на розвиток країнознавчих досліджень.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>Успіхів у розширенні країнознавчих знань домоглися народи, які перебували на ранньому етапі формування суспільства. Саме у ці часи посилюються зв’язки між слов’янськими племенами, що об’єдналися потім у Київську Русь. У Північній Атлантиці нормани першими відкрили Ісландію (867), Гренландію (958) та північно-східні береги Північної Америки (987—1000).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 xml:space="preserve">За часів середньовіччя ґрунтовними стали країнознавчі дослідження представників арабських народів, особливо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Ібн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Батута (1304—1377),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Ідрісі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(1100—1161/1165),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Ібн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Сіни (980—1037),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Ібн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Гордадбеха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(820/826—912) та ін. Із VII ст. араби швидко завоювали територію від Індії до Іспанії, у тому числі Північну Африку. Вони уміло поєднали знання з математики та астрономії з географічними, зберегли для нащадків ідеї античного світу.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>У XI—XV ст. у деяких країнах виникли передумови для формування націй завдяки розширенню економічних зв’язків і розвитку науки та культури. На сході з’являється могутня держава монголів, яка завоювала величезні території, підкорила багато держав (зокрема, Київську Русь) і народів. Тільки північні окраїни слов’янських земель не зазнали монгольського ярма. Новгородці у ці часи освоюють північ Руської рівнини.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>Великим європейським мандрівником на початку XIV ст. був Марко Поло (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прибл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>. 1254—1324), який відкрив європейцям Схід. Він чітко охарактеризував деякі країни (Індонезію, Індію, Китай, Персію, Османську імперію тощо), острови, півострови, елементи берегової смуги.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>Внаслідок розвитку кораблебудування і мореплавання виникли італійські морські карти (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портолани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). У Русі з’явилися описи подорожей — «ходіння» (найвідомішим є «Ходіння за три моря» Афанасія Нікітіна (?—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прибл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>. 1474—75)).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>Період Відродження (XIV—XVI ст. н. е.). Епоха великих географічних відкриттів пов’язана з Відродженням. Розвиток продуктивних сил, розширення і ускладнення міжнародних економічних зв’язків зумовили пошуки нових торгових шляхів, нових ринків сировини та збуту продукції, що призвело до загарбання і поділу світу між молодими національними державами.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 xml:space="preserve">Європейці відкрили Північну, Центральну, Південну Америку та шлях до Індії; розпочалися системні дослідження природи Сибіру. Італійський </w:t>
      </w:r>
      <w:r w:rsidRPr="00B910CE">
        <w:rPr>
          <w:rFonts w:ascii="Times New Roman" w:hAnsi="Times New Roman"/>
          <w:sz w:val="28"/>
          <w:szCs w:val="28"/>
          <w:lang w:val="uk-UA"/>
        </w:rPr>
        <w:lastRenderedPageBreak/>
        <w:t xml:space="preserve">мореплавець Христофор Колумб (1451—1506) відкрив у 1492 р. Америку (12 жовтня),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Багам-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ські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острови, Кубу і Гаїті. Під час другої подорожі (1493— 1496) Колумб першим з європейців побував на низці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Ан-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тильських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островів (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Домініці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, Гваделупі, Пуерто-Ріко, Ямайці,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Піносі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та ін.) У 1498 р. мандрівник вирушив у третю експедицію і відкрив Тринідад (1502—1504). Під час четвертої експедиції він наблизився до берегів центральної Америки в районі Гондурасу. Усе своє життя Колумб вважав, що відвідав арабські території. Експедиція 1519— 1521 рр. португальського мореплавця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Фернана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Магеллана (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прибл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>. 1480—1521) здійснила перше навколосвітнє плавання, відкрила величезні водні простори між Америкою та Азією, відвідала нові країни і території і підтвердила ідею про кулястість Землі.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 xml:space="preserve">Винайдення друкарства стало істотним вкладом у розвиток науки і культури загалом і географії зокрема. У XVI—XVII ст. було опубліковано географічні праці мандрівників,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географо-картографічні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праці фламандців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Герарда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Меркатора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(1594) «Атлас» (1595) та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Абраахама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Ортелія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(1527—1598) «Театр Світу» (1570). Крім описів подорожей, друкувалися «космографії» (популярні твори про природу, історію, дива країн). У 1650 р. вийшла праця «Географія генеральна» голландця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Бернхарда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Вареніуса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(Варена, 1622—1650/1655). У ній було узагальнено всі досягнення географії, подано теоретичне обґрунтування географічної науки, розроблено програму і визначено коло питань країнознавчих робіт.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>Загалом у середньовічні часи розвивалося описове країнознавство, розроблялися підходи до предмета і змісту країнознавства.</w:t>
      </w:r>
    </w:p>
    <w:p w:rsid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 xml:space="preserve">Нові часи (XVI ст. — початок XX ст.). Великі географічні відкриття прискорили процес утвердження капіталістичних відносин і сприяли встановленню світових господарських зв’язків, залученню у політико-географічні процеси незаселених районів, територіальним завоюванням європейськими державами територій Нового Світу і навіть деяких регіонів Старого Світу. Відбувалися іспанська, португальська і голландська колонізації Південної, Центральної і частково Північної Америки; островів Вест-Індії; знищення іспанцями і португальцями держав у Південній Америці; англійська, французька і російська колонізації Північної Америки; колоніальні загарбання західноєвропейських держав в Азії та Африці (Нідерланди колонізували Індонезію), відбулися державно-територіальні зміни в Європі (утворення Сполученого Королівства Великої Британії та Ірландії, поділ Речі Посполитої, зменшення території Швеції, територіальне розширення і консолідація Російської імперії); підйом і занепад, територіальне розширення та скорочення національних держав Азії й </w:t>
      </w:r>
      <w:r w:rsidRPr="00B910CE">
        <w:rPr>
          <w:rFonts w:ascii="Times New Roman" w:hAnsi="Times New Roman"/>
          <w:sz w:val="28"/>
          <w:szCs w:val="28"/>
          <w:lang w:val="uk-UA"/>
        </w:rPr>
        <w:lastRenderedPageBreak/>
        <w:t>Африки (утворення імперії Великих Моголів, Конго, Ефіопської імперії, Османської імперії, Японії).</w:t>
      </w:r>
    </w:p>
    <w:p w:rsidR="00EC4FF7" w:rsidRPr="00B910CE" w:rsidRDefault="00B910CE" w:rsidP="00A1588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0CE">
        <w:rPr>
          <w:rFonts w:ascii="Times New Roman" w:hAnsi="Times New Roman"/>
          <w:sz w:val="28"/>
          <w:szCs w:val="28"/>
          <w:lang w:val="uk-UA"/>
        </w:rPr>
        <w:t>Промисловий переворот (середина XVIII ст.) та Французька буржуазна революція (1789, 1794) сприяли державно-територіальним змінам в Європі, обумовленим наполеонівськими війнами та підсумками Віденського конгресу (1815). Це призвело до зменшення території Франції, розширення меж Росії, зміни кордонів Пруссії, об’єднання Бельгії і Голландії тощо. Внаслідок буржуазно-національних рухів після Віденського конгресу утворилися кілька незалежних держав (Греція, Бельгія тощо); відбулося політичне об’єднання Німецької імперії та Італії; набули нового державно-правового статусу деякі країни (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Австро-Угорщи-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0CE">
        <w:rPr>
          <w:rFonts w:ascii="Times New Roman" w:hAnsi="Times New Roman"/>
          <w:sz w:val="28"/>
          <w:szCs w:val="28"/>
          <w:lang w:val="uk-UA"/>
        </w:rPr>
        <w:t>ни</w:t>
      </w:r>
      <w:proofErr w:type="spellEnd"/>
      <w:r w:rsidRPr="00B910CE">
        <w:rPr>
          <w:rFonts w:ascii="Times New Roman" w:hAnsi="Times New Roman"/>
          <w:sz w:val="28"/>
          <w:szCs w:val="28"/>
          <w:lang w:val="uk-UA"/>
        </w:rPr>
        <w:t>, залежні від Туреччини, Сербії та Румунії), сформувалася територіальна основа Британської колоніальної імперії (в Азії — Індія, Сінгапур, південне узбережжя Малакки, Аден тощо; в Африці — Південна Африка, Маврикій; Австралія, Нова Зеландія і Канада), утворилися самостійні держави у Латинській Америці.</w:t>
      </w:r>
    </w:p>
    <w:p w:rsidR="00EC4FF7" w:rsidRPr="00271166" w:rsidRDefault="00EC4FF7" w:rsidP="00A158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1166">
        <w:rPr>
          <w:rFonts w:ascii="Times New Roman" w:hAnsi="Times New Roman"/>
          <w:b/>
          <w:sz w:val="28"/>
          <w:szCs w:val="28"/>
          <w:lang w:val="uk-UA"/>
        </w:rPr>
        <w:t xml:space="preserve">Основні постаті, особливості підходів, проблематика. Сучасні суспільно-географічні дослідження. Основні інституції.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71166">
        <w:rPr>
          <w:rFonts w:ascii="Times New Roman" w:hAnsi="Times New Roman"/>
          <w:i/>
          <w:sz w:val="28"/>
          <w:szCs w:val="28"/>
          <w:lang w:val="uk-UA"/>
        </w:rPr>
        <w:t>Зародження німецької суспільно-географічної школи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Від початку формування національних географічних шкіл і до Першої світової війни німецька географічна школа посідала провідне місце у світової географії.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У другій половині XVIII – першій половині ХІХ ст. на її розвиток мали значний вплив такі відомі географи і філософи, як Антон Фрідріх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Бішінг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Імануіл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Кант, Олександр Гумбольдт, Карл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Ріттер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>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А. Ф.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Бішінг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у 1792 році видав шеститомну працю "Новий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землеопис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>", в якій подав детальну характеристику країн Європи. Також він висунув дві концепції: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1) Густота населення є важливою географічною характеристикою території;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2) Перевезення товарів водними шляхами звільняє залежність людей від місцевих ресурсів.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І. Кант поділяв всі науки на абстрактні і конкретні, а в останніх виділяв систематичні, хорологічні та хронологічні. Географію він відносив до хорологічних наук, тобто просторових. Кант також вважав за необхідне урахування антропогенних сил, поруч із природними, для пояснення особливостей формування території.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Щоправда, Кант розглядав географію як науку, що вивчає в основному зв’язки між окремими предметами і явищами, їх загальні характеристики, і що вона, в більшій мірі, зосереджує увагу на виявленні відмінностей, ніж </w:t>
      </w:r>
      <w:r w:rsidRPr="00271166">
        <w:rPr>
          <w:rFonts w:ascii="Times New Roman" w:hAnsi="Times New Roman"/>
          <w:sz w:val="28"/>
          <w:szCs w:val="28"/>
          <w:lang w:val="uk-UA"/>
        </w:rPr>
        <w:lastRenderedPageBreak/>
        <w:t>подібностей, в просторі. Але Кант вважав гео</w:t>
      </w:r>
      <w:r w:rsidR="00A1588B">
        <w:rPr>
          <w:rFonts w:ascii="Times New Roman" w:hAnsi="Times New Roman"/>
          <w:sz w:val="28"/>
          <w:szCs w:val="28"/>
          <w:lang w:val="uk-UA"/>
        </w:rPr>
        <w:t xml:space="preserve">графію не лише описовою, але й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номотетичною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>, тобто "законотворчою" наукою.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Гумбольт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був одним з фундаторів наукового країнознавства. Більшість його досліджень стосувалися фізико-географічних напрямків. Він розкрив суть широтної зональності і висотної поясності у розподілі зональності, тепла і вологи на Землі, ввів термін "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землеопис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>". Але разом з тим він відводив величезну роль географічній функції людини і її впливу на природу.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Карл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Ріттер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, засновник Німецького географічного товариства, перший завідувач кафедри географії в Німеччині, був автором 19-ти томного видання "Землезнавство у його відношенні до природи та історії людини або Загальна порівняльна географія". В своїх працях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Ріттер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розкривав географічні особливості взаємозв’язку людини природи. Він схилявся до думки, що географія по своїй суті є хорологічною наукою і до деякої міри протиставляв географічний метод історичному. Вчений вивчав просторові відносини - зв’язки і взаємозалежності між явищами і процесами на земній поверхні.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Ріттер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намагався віднайти просторові закономірності і взаємозалежності, вивчаючи географічне положення, конфігурацію,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взаєморозташування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та величину країн та районів.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Ріттера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Гумбольта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вважають основоположниками порівняльного методу в географії та комплексного підходу в дослідженнях.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Важливою подією для розвитку німецької географії стало рішення уряду Пруссії в 1874 році запровадити в усіх університетах кафедри географії. Очолювати кафедри мали вчені в званні професорів. До 1880 року кафедри географії були започатковані в усіх університетах Німеччини. Це дало значний поштовх для розвитку природних, а з часом і суспільних галузей науки.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У другій половині XIX століття німецьку географічну школу формували такі вчені як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Фердинанд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фон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Ріхтенгофен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, Фрідріх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Ратцель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, Альфред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Геттнер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та інші.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Наприкінці ХІХ століття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Ріхтгофен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висунув концепцію хорології, яку продовжували розглядати й інші німецькі географи.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У 1895 році Альфред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Геттнер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опублікував у журналі "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Geographische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Zeitschrift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" перше із сформульованих ним методологічних положень. За визначенням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Геттнера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географія була наукою, яка об’єднувала різні напрямки не за предметом, а за методом вивчення.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Геттнер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поставив питання про те, чи повинна географія зосереджуватися на вивченні тільки унікальних об’єктів та явищ в просторовому аспекті, чи так само мали розроблятися загальні питання.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Геттнер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доводив своє бачення цієї проблеми, яке полягало </w:t>
      </w:r>
      <w:r w:rsidRPr="00271166">
        <w:rPr>
          <w:rFonts w:ascii="Times New Roman" w:hAnsi="Times New Roman"/>
          <w:sz w:val="28"/>
          <w:szCs w:val="28"/>
          <w:lang w:val="uk-UA"/>
        </w:rPr>
        <w:lastRenderedPageBreak/>
        <w:t>в тому, що географія повинна використовувати і загальне і часткове, і, таким чином, вдосконалюватися.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Фердинанд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фон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Ріхтенгофен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займався не тільки геологічними дослідженнями, організував експедиції до Китаю та інших азійських країн, а й почав створення теоретичної бази.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Ріхтенгофен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вивчав предмет і цілі географічних досліджень, розробляв методику досліджень. Він вважав, що географія - це загальне землезнавство, що складається з фізичної географії, біогеографії та географії людини. Географія займається вивченням географічної оболонки в масштабі як всієї планети та її компонентів, так і за окремим районом.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Він виділив чотири ієрархічні рівні: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- головні підрозділи;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- великі райони;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- ландшафти;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- урочища.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Фрідріх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Ратцель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став фундатором систематичного вивчення соціальної географії (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антропогеографії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>). У 1882 році він видав перший том "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Антропогеографії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", в якому описав дію природних феноменів на історію розвитку людини. В цей самий час були надруковані праці інших німецьких географів, які не погоджувалися з таким підходом до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антропогеографії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>. Вони приділяли увагу самій людині, її культурним особливостям та традиціям. У 1894 році було видано другий том "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Антропогеографії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", в якому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Ратцель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використовував саме такий підхід.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Ратцель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вважався прихильником соціального дарвінізму. Він погоджувався з ототожненням держави з живим організмом та вважав, що вона не може знаходитися в стані спокою, а має або розвиватися, або померти.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Ще однією важливою віхою соціально географічних досліджень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Ратцеля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було спростування традиційних уявлень про освоєння земель і розвиток господарства. Згідно з існуючою теорією, в експлуатації земель люди послідовно пройшли стадії мисливства, рибальства та збирання, кочівного скотарства та землеробства після чого перейшли до спеціалізованого сільського господарства.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Ратцель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не погоджувався з можливістю встановлення чітких меж переходу від однієї галузі до іншої і вважав, що в багатьох випадках мав місце змішаний тип господарства.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На основі цих міркувань у 1892 році Едуард Ган опублікував нову карту сільськогосподарських систем світу, де виділив 6 основних типів освоєння земель: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- мисливство і рибальство, мотичне землеробство;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- землеробство з використанням плуга;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європейсько-західноазійський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тип, в якому поєднувалися землеробство і скотарство;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- скотарство;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- китайський тип спеціалізованого землеробства;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- японський тип спеціалізованого землеробства.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Отже, наприкінці ХІХ століття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Ратцелем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та його послідовниками була розроблена система німецької соціальної географії. В цей час для німецької географії особливо гостро постало питання розмежування соціальної та природничої географії.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Професор Страсбурзького університету Георг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Герланд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взагалі вважав, що географія повинна займатися природничою наукою з точно встановленими законами, які неможливо застосовувати у вивченні діяльності людських груп. Отже,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антропогеографія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не могла існувати як частина географічної науки. Але ці міркування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Герланда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були відхилені науковою спільнотою.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Німецька географічна школа сформувалася однією з найперших і здійснила значний вплив на формування суспільно-географічної думки в Європі, зокрема, на Швецію, Австрію,Швейцарію, Данію, Фінляндію, Норвегію та інші країни.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Одним з видатних шведських географів був Стен де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Геер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, який на початку ХХ століття створював детальні карти чисельності та густоти населення,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розореності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 земель, характеру господарської діяльності. Де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Геер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займався виділенням районів за природними ознаками та заселеністю.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У 1923 році вийшла в світ стаття вченого про предмет і методи географії. Де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Геер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визначив географію як науку, що вивчала сучасний розподіл явищ на земній поверхні. А поверхню Землі , за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Ріхтгефеном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>, він розглядав як зону, в межах якої взаємодіяли і проникали одна в одну літосфера, гідросфера, атмосфера, біосфера та атмосфера.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Ще одним відомим шведським географом був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Хельге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Нельсон. Він докладно описав процеси заселення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гірничовидобувного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округа Швеції, а також вивчав явища міграції.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Лундський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університет, в якому працював і проводив свої дослідження Нельсон, а згодом і його послідовники, такі як Тор Стен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Хьогерстранд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>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Найбільша увага в сфері соціально-економічної географії приділялася вивченню географічних районів та явищам розселення та міграції населення.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В Нідерландах кафедра географії була створена у 1877 році в Амстердамському університеті, а на початку ХХ сторіччя в університеті існувало вже дві кафедри: фізичної та політичної географії.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lastRenderedPageBreak/>
        <w:t>Після Другої Світової війни в Нідерландах почали закріплюватися хорологічні концепції, що суперечили розділенню природничої та соціальної географії.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В Данії та Фінляндії більш стрімкого розвитку набували фізико-географічні напрямки.</w:t>
      </w:r>
    </w:p>
    <w:p w:rsidR="00492A1D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В університетах Відня та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Цюриха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географічні традиції майже не відрізнялися від німецьких.</w:t>
      </w:r>
    </w:p>
    <w:p w:rsidR="00271166" w:rsidRPr="00A1588B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1588B">
        <w:rPr>
          <w:rFonts w:ascii="Times New Roman" w:hAnsi="Times New Roman"/>
          <w:i/>
          <w:sz w:val="28"/>
          <w:szCs w:val="28"/>
          <w:lang w:val="uk-UA"/>
        </w:rPr>
        <w:t>Французька суспільно-географічна школа. Географія людини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Всебічний розвиток суспільної географії у Франції почався у ХIХ столітті, як у Німеччині, але з запізненням на 5-10 років. Французька географічна школа на рівні з німецькою була однією з домінуючих в період формування національних географічних шкіл.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На початку ХIХ століття в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Сорбоні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існувала кафедра географії, але викладання на ній велося переважно вченими істориками. Більшість вчених на той час пов'язували необхідність виділення географічної науки із розробкою районування Франції та проблемного розвитку французьких колоній. У середині ХIХ століття у Франції налічувалося 9 географічних товариств, два з яких діяли в Парижі, а інші в Ліоні, Марселі, Бордо,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Нансі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Рошфорі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Дуї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Монпельє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>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До 1921 року географічні факультети у Франції мали 16 університетів. Ще в 4-х університетах Бельгії викладання географії велося французькою.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Одним з найбільш визначних французьких географів кінця ХIХ був Поль де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Голош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Відоль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вивчав територію, розділяючи її на певні ландшафтні суспільно-географічні одиниці, і став основоположником французької школи географії людини.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Найвизначнішими постатями в цей період стали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Елізе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Реклю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, Поль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Відаль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де ля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Блаш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, Жан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Брюн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Елізе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Реклю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більшість своїх досліджень проводив у галузі країнознавства. Він був автором таких географічних видань, як "Земля і люди. Загальна географія", "Людина і земля" та інші.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Реклю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визначав географію стосовно людини, як історію в просторі, а історію, як географію в часі, таким чином, висловлюючи думку, щодо важливості історичного методу в географії та географічного в історії.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Наприкінці 90-х років ХIХ століття 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Відаль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де ля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Блаш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висунув теорію посибілізму. Згідно якої природа ставила межі, але й давала можливість для свого освоєння. При цьому способи людського впливу на природу і адаптування в тих інших умовах залежали від його власних традицій і способу життя.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В своїх дослідженнях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Відаль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спирається на німецьку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антропогеографію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Ратцеля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, але при цьому вносить риси, характерні лише для французької </w:t>
      </w:r>
      <w:r w:rsidRPr="00271166">
        <w:rPr>
          <w:rFonts w:ascii="Times New Roman" w:hAnsi="Times New Roman"/>
          <w:sz w:val="28"/>
          <w:szCs w:val="28"/>
          <w:lang w:val="uk-UA"/>
        </w:rPr>
        <w:lastRenderedPageBreak/>
        <w:t>географії. Зокрема, часто використовується термін "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le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genre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de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vie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" – спосіб життя. За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Відалем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, він включає в себе звичаї, традиції, цінності тієї чи іншої соціальної спільності, які передаються від покоління до покоління і є основним фактором, що визначають, яким чином буде  взаємодіяти з природою ця соціальна спільність. Свою роботу "Географія людини"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Відаль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не встиг повністю завершити, оскільки у 1918 році пішов із життя. Але робота все ж була опублікована у 1921 році зятем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Відаля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Імануїлом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де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Мартонном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під назвою "Основи географії людини". В цій праці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Відаль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розглядав людину, як географічний фактор, явища пов`язані з міграцією та розселенням, розвитком цивілізації, формуванням поселень різного типу. Вчений не встиг повністю завершити роботу над розділами про походження рас, розповсюдження ремесел і т.д.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Дослідження в напрямку географії людини продовжив один з учнів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Відаля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- Жан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Брюн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, який сприяв закріпленню і розповсюдженню ідей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Відаля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у Франції та за її межами.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Брюн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виділив три категорії найважливіших реалій географії людства: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1) Реалії непродуктивного використання земель для житла і доріг;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2) Реалії освоєння земель рослинами та тваринами або обробіток і розведення;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3) Реалії деструктивної експлуатації ресурсів: "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оскуднение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>" рослинності, знищення тварин, видобуток корисних копалин.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Він проілюстрував суть цих категорій на прикладі взаємодії людини і природи в декількох оазисних районах Сахари та в Альпах.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Згодом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Брюн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розширив сферу своїх досліджень і окрім географії людини вивчав політичні та історичні аспекти географії.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Загалом, французька школа географії людини відрізняється від німецької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антропогеографічної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школи декількома суттєвими рисами.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По-перше, набагато менше значення надається детермінізму. Французький напрям залишає людським спільнотам в різному середовищі можливість вибору шляхів використання географічних ресурсів і т.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інш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>., тому й визначається як посибілізм.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Другою рисою є історизм французької географії, а також широке використання порівняльних характеристик.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На відміну від своїх німецьких колег, французькі географи майже не приділяли уваги проблемі розділення географії на природну та суспільну. У Франції обидві гілки географії розвивалися відносно рівномірно. У 1929 році французький географ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Валло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у своїй праці "Географічні науки" розкрив свої уявлення про географію, як одночасно унітарну і автономну сферу досліджень і як допоміжний інструмент інших наук.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Валло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характеризував </w:t>
      </w:r>
      <w:r w:rsidRPr="00271166">
        <w:rPr>
          <w:rFonts w:ascii="Times New Roman" w:hAnsi="Times New Roman"/>
          <w:sz w:val="28"/>
          <w:szCs w:val="28"/>
          <w:lang w:val="uk-UA"/>
        </w:rPr>
        <w:lastRenderedPageBreak/>
        <w:t>географію як філософію світу людини і унеможливлював однобічний погляд на її ділення. Отже, французькі географи одночасно займалися систематичними (галузевими), місцевими і регіональними дослідженнями.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Французька географічна школа мала вплив на розвиток географії в інших країнах. У 1898 році в Бельгії французький географ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Елізе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Реклю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заснував Інститут географії.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Фундатором нової географії в Італії став Джузеппе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Делла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Ведова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, який очолив кафедру географії в Римському університеті у 1875 році. Він також визначав географію, як хорологію. Більшість географів, що очолили кафедри італійських університетів були учнями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Ведови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>.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Завідувач кафедри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Падуезького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університету,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Марінеллі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опублікував керівництво з фізичної і соціальної географії у 8-ми томах. В своїй роботі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Марінеллі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майже повністю розділяв думку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Реклю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Мальтебруна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. Італійська географія на відміну від бельгійської майже не знаходилася під впливом німецької географічної школи і використовувала, головним чином, здобутки французьких географів.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В Іспанії та Португалії розвивалася здебільшого фізична географія та краєзнавчі напрямки. </w:t>
      </w:r>
    </w:p>
    <w:p w:rsidR="00271166" w:rsidRPr="00271166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 xml:space="preserve">В університетах Канади був в рівній мірі відчутний вплив, як французької так і британської суспільно-географічної школи. Найвідчутнішим вплив французької школи був в університеті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Лаваля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Квебеці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та в </w:t>
      </w:r>
      <w:proofErr w:type="spellStart"/>
      <w:r w:rsidRPr="00271166">
        <w:rPr>
          <w:rFonts w:ascii="Times New Roman" w:hAnsi="Times New Roman"/>
          <w:sz w:val="28"/>
          <w:szCs w:val="28"/>
          <w:lang w:val="uk-UA"/>
        </w:rPr>
        <w:t>Монреальському</w:t>
      </w:r>
      <w:proofErr w:type="spellEnd"/>
      <w:r w:rsidRPr="00271166">
        <w:rPr>
          <w:rFonts w:ascii="Times New Roman" w:hAnsi="Times New Roman"/>
          <w:sz w:val="28"/>
          <w:szCs w:val="28"/>
          <w:lang w:val="uk-UA"/>
        </w:rPr>
        <w:t xml:space="preserve"> університеті.</w:t>
      </w:r>
    </w:p>
    <w:p w:rsidR="00271166" w:rsidRPr="00EC4FF7" w:rsidRDefault="00271166" w:rsidP="00A158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166">
        <w:rPr>
          <w:rFonts w:ascii="Times New Roman" w:hAnsi="Times New Roman"/>
          <w:sz w:val="28"/>
          <w:szCs w:val="28"/>
          <w:lang w:val="uk-UA"/>
        </w:rPr>
        <w:t>Серед латиноамериканських країн найвищого розвитку досягла бразильська географія. У 70-х роках ХХ століття бразильські вчені займалися дослідженнями з використанням новітніх математичних методів. А через деякий час розробляли міждисциплінарні теми для вирішення комплексних проблем прогресивного планування. Відчувається також значний вплив французької географії на розвиток, як фізико-географічних, так і суспільних напрямків в Чилі, Колумбії, Мексиці та Аргентині.</w:t>
      </w:r>
    </w:p>
    <w:sectPr w:rsidR="00271166" w:rsidRPr="00EC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46AB4BF6"/>
    <w:multiLevelType w:val="hybridMultilevel"/>
    <w:tmpl w:val="DC927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3F153A"/>
    <w:multiLevelType w:val="hybridMultilevel"/>
    <w:tmpl w:val="141C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89"/>
    <w:rsid w:val="00271166"/>
    <w:rsid w:val="002F6889"/>
    <w:rsid w:val="00492A1D"/>
    <w:rsid w:val="00A1588B"/>
    <w:rsid w:val="00B910CE"/>
    <w:rsid w:val="00E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89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71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C4FF7"/>
    <w:pPr>
      <w:keepNext/>
      <w:numPr>
        <w:ilvl w:val="2"/>
        <w:numId w:val="1"/>
      </w:numPr>
      <w:tabs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688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4FF7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7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89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71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C4FF7"/>
    <w:pPr>
      <w:keepNext/>
      <w:numPr>
        <w:ilvl w:val="2"/>
        <w:numId w:val="1"/>
      </w:numPr>
      <w:tabs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688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4FF7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7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2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21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dcterms:created xsi:type="dcterms:W3CDTF">2017-11-23T11:55:00Z</dcterms:created>
  <dcterms:modified xsi:type="dcterms:W3CDTF">2017-11-24T09:02:00Z</dcterms:modified>
</cp:coreProperties>
</file>